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1843"/>
        <w:gridCol w:w="1418"/>
        <w:gridCol w:w="283"/>
        <w:gridCol w:w="284"/>
        <w:gridCol w:w="1276"/>
        <w:gridCol w:w="141"/>
        <w:gridCol w:w="142"/>
        <w:gridCol w:w="851"/>
        <w:gridCol w:w="426"/>
        <w:gridCol w:w="566"/>
        <w:gridCol w:w="143"/>
        <w:gridCol w:w="568"/>
        <w:gridCol w:w="139"/>
        <w:gridCol w:w="605"/>
        <w:gridCol w:w="673"/>
      </w:tblGrid>
      <w:tr w:rsidR="00D84FEC" w14:paraId="45B534A8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7D3DBC66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4471948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545B1804" w14:textId="77777777" w:rsidR="00D84FEC" w:rsidRDefault="00D84FEC">
            <w:pPr>
              <w:rPr>
                <w:b/>
              </w:rPr>
            </w:pPr>
          </w:p>
        </w:tc>
      </w:tr>
      <w:tr w:rsidR="002155E6" w14:paraId="4C9C9F26" w14:textId="77777777" w:rsidTr="005A198C">
        <w:tc>
          <w:tcPr>
            <w:tcW w:w="708" w:type="dxa"/>
          </w:tcPr>
          <w:p w14:paraId="53B1FDC0" w14:textId="77777777" w:rsidR="00D84FEC" w:rsidRDefault="00D84FEC"/>
        </w:tc>
        <w:tc>
          <w:tcPr>
            <w:tcW w:w="1843" w:type="dxa"/>
          </w:tcPr>
          <w:p w14:paraId="6E609E17" w14:textId="77777777" w:rsidR="00D84FEC" w:rsidRDefault="00D84FEC">
            <w:r>
              <w:t>Job Title:</w:t>
            </w:r>
          </w:p>
        </w:tc>
        <w:tc>
          <w:tcPr>
            <w:tcW w:w="3402" w:type="dxa"/>
            <w:gridSpan w:val="5"/>
          </w:tcPr>
          <w:p w14:paraId="0B9DD56A" w14:textId="073D2377" w:rsidR="002155E6" w:rsidRDefault="008E43A6" w:rsidP="002155E6">
            <w:pPr>
              <w:rPr>
                <w:rFonts w:cs="Arial"/>
              </w:rPr>
            </w:pPr>
            <w:r>
              <w:rPr>
                <w:rFonts w:cs="Arial"/>
              </w:rPr>
              <w:t>Engineering</w:t>
            </w:r>
            <w:r w:rsidR="00D817AF">
              <w:rPr>
                <w:rFonts w:cs="Arial"/>
              </w:rPr>
              <w:t xml:space="preserve"> </w:t>
            </w:r>
            <w:r w:rsidR="002155E6" w:rsidRPr="00C779C3">
              <w:rPr>
                <w:rFonts w:cs="Arial"/>
              </w:rPr>
              <w:t>Contracts Manager</w:t>
            </w:r>
          </w:p>
          <w:p w14:paraId="4110FD21" w14:textId="77777777" w:rsidR="00D84FEC" w:rsidRDefault="00D84FEC"/>
        </w:tc>
        <w:tc>
          <w:tcPr>
            <w:tcW w:w="1419" w:type="dxa"/>
            <w:gridSpan w:val="3"/>
          </w:tcPr>
          <w:p w14:paraId="43CBA89D" w14:textId="77777777" w:rsidR="00D84FEC" w:rsidRDefault="00D84FEC">
            <w:r>
              <w:t>Function:</w:t>
            </w:r>
          </w:p>
        </w:tc>
        <w:tc>
          <w:tcPr>
            <w:tcW w:w="2694" w:type="dxa"/>
            <w:gridSpan w:val="6"/>
          </w:tcPr>
          <w:p w14:paraId="77106FC4" w14:textId="4F862FD2" w:rsidR="00D84FEC" w:rsidRDefault="008E43A6">
            <w:r>
              <w:t>Engineering</w:t>
            </w:r>
            <w:r w:rsidR="00077C83">
              <w:t xml:space="preserve"> (Major Contracts)</w:t>
            </w:r>
          </w:p>
        </w:tc>
      </w:tr>
      <w:tr w:rsidR="002155E6" w14:paraId="12235FA3" w14:textId="77777777" w:rsidTr="005A198C">
        <w:tc>
          <w:tcPr>
            <w:tcW w:w="708" w:type="dxa"/>
          </w:tcPr>
          <w:p w14:paraId="2F9252D7" w14:textId="77777777" w:rsidR="00D84FEC" w:rsidRDefault="00D84FEC"/>
        </w:tc>
        <w:tc>
          <w:tcPr>
            <w:tcW w:w="1843" w:type="dxa"/>
          </w:tcPr>
          <w:p w14:paraId="1B80DA60" w14:textId="77777777" w:rsidR="00D84FEC" w:rsidRDefault="00D84FEC">
            <w:r>
              <w:t>Location:</w:t>
            </w:r>
          </w:p>
        </w:tc>
        <w:tc>
          <w:tcPr>
            <w:tcW w:w="3402" w:type="dxa"/>
            <w:gridSpan w:val="5"/>
          </w:tcPr>
          <w:p w14:paraId="3946474D" w14:textId="69E56FD7" w:rsidR="002155E6" w:rsidRDefault="008E43A6" w:rsidP="002155E6">
            <w:pPr>
              <w:rPr>
                <w:rFonts w:cs="Arial"/>
              </w:rPr>
            </w:pPr>
            <w:r>
              <w:rPr>
                <w:rFonts w:cs="Arial"/>
              </w:rPr>
              <w:t>4 More</w:t>
            </w:r>
            <w:r w:rsidR="00566857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London</w:t>
            </w:r>
          </w:p>
          <w:p w14:paraId="582A382D" w14:textId="77777777" w:rsidR="00D84FEC" w:rsidRDefault="00D84FEC"/>
        </w:tc>
        <w:tc>
          <w:tcPr>
            <w:tcW w:w="1419" w:type="dxa"/>
            <w:gridSpan w:val="3"/>
          </w:tcPr>
          <w:p w14:paraId="66BA0311" w14:textId="77777777" w:rsidR="00D84FEC" w:rsidRDefault="00D84FEC">
            <w:r>
              <w:t>Unique Post Number:</w:t>
            </w:r>
          </w:p>
          <w:p w14:paraId="09149286" w14:textId="77777777" w:rsidR="00D84FEC" w:rsidRDefault="00D84FEC"/>
        </w:tc>
        <w:tc>
          <w:tcPr>
            <w:tcW w:w="2694" w:type="dxa"/>
            <w:gridSpan w:val="6"/>
          </w:tcPr>
          <w:p w14:paraId="7545CF01" w14:textId="77777777" w:rsidR="00D84FEC" w:rsidRDefault="00D84FEC"/>
        </w:tc>
      </w:tr>
      <w:tr w:rsidR="002155E6" w14:paraId="6ABE7E97" w14:textId="77777777" w:rsidTr="005A198C">
        <w:tc>
          <w:tcPr>
            <w:tcW w:w="708" w:type="dxa"/>
          </w:tcPr>
          <w:p w14:paraId="7218B6DF" w14:textId="77777777" w:rsidR="00D84FEC" w:rsidRDefault="00D84FEC"/>
        </w:tc>
        <w:tc>
          <w:tcPr>
            <w:tcW w:w="1843" w:type="dxa"/>
          </w:tcPr>
          <w:p w14:paraId="392C6DDE" w14:textId="77777777" w:rsidR="00D84FEC" w:rsidRDefault="00D84FEC">
            <w:r>
              <w:t>Reports To:</w:t>
            </w:r>
          </w:p>
        </w:tc>
        <w:tc>
          <w:tcPr>
            <w:tcW w:w="3402" w:type="dxa"/>
            <w:gridSpan w:val="5"/>
          </w:tcPr>
          <w:p w14:paraId="787FA401" w14:textId="26F597FD" w:rsidR="00C1362D" w:rsidRDefault="00D817AF">
            <w:r>
              <w:t xml:space="preserve">Head of </w:t>
            </w:r>
            <w:r w:rsidR="0073347E">
              <w:t>Fleet Commercials</w:t>
            </w:r>
          </w:p>
          <w:p w14:paraId="53C3A9B5" w14:textId="77777777" w:rsidR="00D84FEC" w:rsidRDefault="00D84FEC"/>
        </w:tc>
        <w:tc>
          <w:tcPr>
            <w:tcW w:w="1419" w:type="dxa"/>
            <w:gridSpan w:val="3"/>
          </w:tcPr>
          <w:p w14:paraId="14525B99" w14:textId="77777777" w:rsidR="00D84FEC" w:rsidRDefault="00D84FEC">
            <w:r>
              <w:t>Grade:</w:t>
            </w:r>
          </w:p>
        </w:tc>
        <w:tc>
          <w:tcPr>
            <w:tcW w:w="2694" w:type="dxa"/>
            <w:gridSpan w:val="6"/>
          </w:tcPr>
          <w:p w14:paraId="3690C411" w14:textId="6E27B17E" w:rsidR="00D84FEC" w:rsidRDefault="00D53393">
            <w:r>
              <w:t>MG2</w:t>
            </w:r>
          </w:p>
        </w:tc>
      </w:tr>
      <w:tr w:rsidR="00D84FEC" w14:paraId="1E73BEEA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290B4C7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31810A08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E6AB377" w14:textId="77777777" w:rsidR="000923FC" w:rsidRDefault="000923FC">
            <w:pPr>
              <w:rPr>
                <w:b/>
              </w:rPr>
            </w:pPr>
          </w:p>
        </w:tc>
      </w:tr>
      <w:tr w:rsidR="00D84FEC" w14:paraId="3A4714F2" w14:textId="77777777" w:rsidTr="005A198C">
        <w:tc>
          <w:tcPr>
            <w:tcW w:w="708" w:type="dxa"/>
            <w:tcBorders>
              <w:bottom w:val="single" w:sz="4" w:space="0" w:color="auto"/>
            </w:tcBorders>
          </w:tcPr>
          <w:p w14:paraId="596FD2F3" w14:textId="77777777" w:rsidR="00D84FEC" w:rsidRDefault="00D84FEC"/>
        </w:tc>
        <w:tc>
          <w:tcPr>
            <w:tcW w:w="9358" w:type="dxa"/>
            <w:gridSpan w:val="15"/>
            <w:tcBorders>
              <w:bottom w:val="single" w:sz="4" w:space="0" w:color="auto"/>
            </w:tcBorders>
          </w:tcPr>
          <w:p w14:paraId="31FC9A1B" w14:textId="2200822B" w:rsidR="00E8657E" w:rsidRDefault="00371897" w:rsidP="00EA6B8A">
            <w:pPr>
              <w:tabs>
                <w:tab w:val="left" w:pos="9106"/>
              </w:tabs>
              <w:ind w:right="17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To </w:t>
            </w:r>
            <w:r w:rsidR="00AD5F47">
              <w:rPr>
                <w:rFonts w:cs="Arial"/>
                <w:bCs/>
              </w:rPr>
              <w:t xml:space="preserve">manage Southeastern’s </w:t>
            </w:r>
            <w:r w:rsidR="008E43A6">
              <w:rPr>
                <w:rFonts w:cs="Arial"/>
              </w:rPr>
              <w:t>Engineering</w:t>
            </w:r>
            <w:r w:rsidR="008E43A6" w:rsidDel="008E43A6">
              <w:rPr>
                <w:rFonts w:cs="Arial"/>
                <w:bCs/>
              </w:rPr>
              <w:t xml:space="preserve"> </w:t>
            </w:r>
            <w:r w:rsidR="00AD5F47">
              <w:rPr>
                <w:rFonts w:cs="Arial"/>
                <w:bCs/>
              </w:rPr>
              <w:t>Contracts</w:t>
            </w:r>
            <w:r w:rsidR="00A95440">
              <w:rPr>
                <w:rFonts w:cs="Arial"/>
                <w:bCs/>
              </w:rPr>
              <w:t xml:space="preserve"> </w:t>
            </w:r>
            <w:r w:rsidR="00AD5F47">
              <w:rPr>
                <w:rFonts w:cs="Arial"/>
                <w:bCs/>
              </w:rPr>
              <w:t>and</w:t>
            </w:r>
            <w:r w:rsidR="002155E6">
              <w:rPr>
                <w:rFonts w:cs="Arial"/>
                <w:bCs/>
              </w:rPr>
              <w:t xml:space="preserve"> provide high quality and professional commercial expertise</w:t>
            </w:r>
            <w:r w:rsidR="00E8657E">
              <w:rPr>
                <w:rFonts w:cs="Arial"/>
                <w:bCs/>
              </w:rPr>
              <w:t>, with a particular focus on Rolling Stock leasing</w:t>
            </w:r>
            <w:r w:rsidR="00AD5F47">
              <w:rPr>
                <w:rFonts w:cs="Arial"/>
                <w:bCs/>
              </w:rPr>
              <w:t xml:space="preserve">, maintenance and modification </w:t>
            </w:r>
            <w:r w:rsidR="00D66703">
              <w:rPr>
                <w:rFonts w:cs="Arial"/>
              </w:rPr>
              <w:t>Contracts</w:t>
            </w:r>
            <w:r w:rsidR="00E8657E">
              <w:rPr>
                <w:rFonts w:cs="Arial"/>
                <w:bCs/>
              </w:rPr>
              <w:t>.</w:t>
            </w:r>
          </w:p>
          <w:p w14:paraId="42B0D1E1" w14:textId="77777777" w:rsidR="00E8657E" w:rsidRDefault="00E8657E" w:rsidP="002155E6">
            <w:pPr>
              <w:rPr>
                <w:rFonts w:cs="Arial"/>
                <w:bCs/>
              </w:rPr>
            </w:pPr>
          </w:p>
          <w:p w14:paraId="147076F0" w14:textId="77777777" w:rsidR="002155E6" w:rsidRDefault="00E8657E" w:rsidP="002155E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To support the business planning process, </w:t>
            </w:r>
            <w:r w:rsidR="002155E6">
              <w:rPr>
                <w:rFonts w:cs="Arial"/>
                <w:bCs/>
              </w:rPr>
              <w:t>contract</w:t>
            </w:r>
            <w:r>
              <w:rPr>
                <w:rFonts w:cs="Arial"/>
                <w:bCs/>
              </w:rPr>
              <w:t xml:space="preserve"> negotiation</w:t>
            </w:r>
            <w:r w:rsidR="00D66703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, </w:t>
            </w:r>
            <w:r w:rsidR="00D66703">
              <w:rPr>
                <w:rFonts w:cs="Arial"/>
                <w:bCs/>
              </w:rPr>
              <w:t xml:space="preserve">and </w:t>
            </w:r>
            <w:r>
              <w:rPr>
                <w:rFonts w:cs="Arial"/>
                <w:bCs/>
              </w:rPr>
              <w:t>produc</w:t>
            </w:r>
            <w:r w:rsidR="00D66703">
              <w:rPr>
                <w:rFonts w:cs="Arial"/>
                <w:bCs/>
              </w:rPr>
              <w:t>tion</w:t>
            </w:r>
            <w:r>
              <w:rPr>
                <w:rFonts w:cs="Arial"/>
                <w:bCs/>
              </w:rPr>
              <w:t xml:space="preserve"> </w:t>
            </w:r>
            <w:r w:rsidR="00D66703">
              <w:rPr>
                <w:rFonts w:cs="Arial"/>
                <w:bCs/>
              </w:rPr>
              <w:t xml:space="preserve">of </w:t>
            </w:r>
            <w:r>
              <w:rPr>
                <w:rFonts w:cs="Arial"/>
                <w:bCs/>
              </w:rPr>
              <w:t xml:space="preserve">new contracts and contract variations, </w:t>
            </w:r>
            <w:r w:rsidR="00A95440">
              <w:rPr>
                <w:rFonts w:cs="Arial"/>
                <w:bCs/>
              </w:rPr>
              <w:t>relating to</w:t>
            </w:r>
            <w:r w:rsidR="002155E6">
              <w:rPr>
                <w:rFonts w:cs="Arial"/>
                <w:bCs/>
              </w:rPr>
              <w:t xml:space="preserve"> Rolling Stock leasing, maintenance and modifications.</w:t>
            </w:r>
          </w:p>
          <w:p w14:paraId="398F92A1" w14:textId="77777777" w:rsidR="002155E6" w:rsidRDefault="002155E6" w:rsidP="002155E6">
            <w:pPr>
              <w:rPr>
                <w:rFonts w:cs="Arial"/>
                <w:bCs/>
              </w:rPr>
            </w:pPr>
          </w:p>
          <w:p w14:paraId="53F9023A" w14:textId="6B8C302D" w:rsidR="00E8657E" w:rsidRDefault="00E8657E" w:rsidP="002155E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 work with Engineer</w:t>
            </w:r>
            <w:r w:rsidR="00653CA4">
              <w:rPr>
                <w:rFonts w:cs="Arial"/>
                <w:bCs/>
              </w:rPr>
              <w:t>ing Managers</w:t>
            </w:r>
            <w:r>
              <w:rPr>
                <w:rFonts w:cs="Arial"/>
                <w:bCs/>
              </w:rPr>
              <w:t xml:space="preserve">, Project Managers and Commercial Managers </w:t>
            </w:r>
            <w:r w:rsidR="00D66703">
              <w:rPr>
                <w:rFonts w:cs="Arial"/>
                <w:bCs/>
              </w:rPr>
              <w:t>within</w:t>
            </w:r>
            <w:r>
              <w:rPr>
                <w:rFonts w:cs="Arial"/>
                <w:bCs/>
              </w:rPr>
              <w:t xml:space="preserve"> the Engineering Directorate</w:t>
            </w:r>
            <w:r w:rsidR="00AD5F47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</w:t>
            </w:r>
            <w:r w:rsidR="00AD5F47">
              <w:rPr>
                <w:rFonts w:cs="Arial"/>
                <w:bCs/>
              </w:rPr>
              <w:t xml:space="preserve">providing expert commercial and contractual advice </w:t>
            </w:r>
            <w:r w:rsidR="00077C83">
              <w:rPr>
                <w:rFonts w:cs="Arial"/>
                <w:bCs/>
              </w:rPr>
              <w:t xml:space="preserve">and to </w:t>
            </w:r>
            <w:r w:rsidR="00722A56">
              <w:rPr>
                <w:rFonts w:cs="Arial"/>
                <w:bCs/>
              </w:rPr>
              <w:t>be</w:t>
            </w:r>
            <w:r>
              <w:rPr>
                <w:rFonts w:cs="Arial"/>
                <w:bCs/>
              </w:rPr>
              <w:t xml:space="preserve"> a professional s</w:t>
            </w:r>
            <w:r w:rsidR="00AD5F47">
              <w:rPr>
                <w:rFonts w:cs="Arial"/>
                <w:bCs/>
              </w:rPr>
              <w:t xml:space="preserve">upport function to the </w:t>
            </w:r>
            <w:r w:rsidR="00077C83">
              <w:rPr>
                <w:rFonts w:cs="Arial"/>
                <w:bCs/>
              </w:rPr>
              <w:t xml:space="preserve">wider </w:t>
            </w:r>
            <w:r w:rsidR="00AD5F47">
              <w:rPr>
                <w:rFonts w:cs="Arial"/>
                <w:bCs/>
              </w:rPr>
              <w:t>business</w:t>
            </w:r>
            <w:r w:rsidR="00077C83">
              <w:rPr>
                <w:rFonts w:cs="Arial"/>
                <w:bCs/>
              </w:rPr>
              <w:t>.</w:t>
            </w:r>
          </w:p>
          <w:p w14:paraId="12D75FD0" w14:textId="77777777" w:rsidR="00D51BFE" w:rsidRDefault="00D51BFE" w:rsidP="002155E6">
            <w:pPr>
              <w:rPr>
                <w:rFonts w:cs="Arial"/>
                <w:bCs/>
              </w:rPr>
            </w:pPr>
          </w:p>
          <w:p w14:paraId="6B8361E3" w14:textId="77777777" w:rsidR="00D53393" w:rsidRDefault="00D53393" w:rsidP="00D5339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To provide accurate, timely and relevant </w:t>
            </w:r>
            <w:r w:rsidR="00E8657E">
              <w:rPr>
                <w:rFonts w:cs="Arial"/>
                <w:iCs/>
              </w:rPr>
              <w:t xml:space="preserve">commercial and </w:t>
            </w:r>
            <w:r w:rsidR="00AA5330">
              <w:rPr>
                <w:rFonts w:cs="Arial"/>
                <w:iCs/>
              </w:rPr>
              <w:t xml:space="preserve">financial </w:t>
            </w:r>
            <w:r>
              <w:rPr>
                <w:rFonts w:cs="Arial"/>
                <w:iCs/>
              </w:rPr>
              <w:t xml:space="preserve">information </w:t>
            </w:r>
            <w:r w:rsidR="00AA5330">
              <w:rPr>
                <w:rFonts w:cs="Arial"/>
                <w:iCs/>
              </w:rPr>
              <w:t xml:space="preserve">on which to base business decisions, </w:t>
            </w:r>
            <w:r w:rsidR="00C5767C">
              <w:rPr>
                <w:rFonts w:cs="Arial"/>
                <w:iCs/>
              </w:rPr>
              <w:t xml:space="preserve">with a focus on </w:t>
            </w:r>
            <w:r w:rsidR="00E327A2">
              <w:rPr>
                <w:rFonts w:cs="Arial"/>
                <w:iCs/>
              </w:rPr>
              <w:t>best practic</w:t>
            </w:r>
            <w:r w:rsidR="00E8657E">
              <w:rPr>
                <w:rFonts w:cs="Arial"/>
                <w:iCs/>
              </w:rPr>
              <w:t>e in contract management</w:t>
            </w:r>
            <w:r w:rsidR="00AA5330">
              <w:rPr>
                <w:rFonts w:cs="Arial"/>
                <w:iCs/>
              </w:rPr>
              <w:t>.</w:t>
            </w:r>
          </w:p>
          <w:p w14:paraId="199F2EBF" w14:textId="77777777" w:rsidR="00566857" w:rsidRDefault="00566857" w:rsidP="00D53393">
            <w:pPr>
              <w:rPr>
                <w:rFonts w:cs="Arial"/>
                <w:iCs/>
              </w:rPr>
            </w:pPr>
          </w:p>
          <w:p w14:paraId="2A4F2B91" w14:textId="58009357" w:rsidR="00D84FEC" w:rsidRDefault="00566857" w:rsidP="00AD5F47">
            <w:pPr>
              <w:rPr>
                <w:b/>
              </w:rPr>
            </w:pPr>
            <w:r>
              <w:rPr>
                <w:rFonts w:cs="Arial"/>
                <w:iCs/>
              </w:rPr>
              <w:t xml:space="preserve">To manage and supervise </w:t>
            </w:r>
            <w:r w:rsidRPr="00566857">
              <w:rPr>
                <w:rFonts w:cs="Arial"/>
                <w:iCs/>
              </w:rPr>
              <w:t xml:space="preserve">the </w:t>
            </w:r>
            <w:r w:rsidRPr="00096DFD">
              <w:t>Roll</w:t>
            </w:r>
            <w:r>
              <w:t xml:space="preserve">ing Stock Contracts Manager, having regular 1 to 1s and </w:t>
            </w:r>
            <w:r w:rsidR="00077C83">
              <w:t>check ins</w:t>
            </w:r>
            <w:r>
              <w:t>.</w:t>
            </w:r>
          </w:p>
        </w:tc>
      </w:tr>
      <w:tr w:rsidR="00D84FEC" w14:paraId="5C583AE9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53FB556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6C07B01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7DFC8A72" w14:textId="77777777" w:rsidR="000923FC" w:rsidRDefault="000923FC">
            <w:pPr>
              <w:rPr>
                <w:b/>
              </w:rPr>
            </w:pPr>
          </w:p>
        </w:tc>
      </w:tr>
      <w:tr w:rsidR="00D84FEC" w14:paraId="08279FBD" w14:textId="77777777" w:rsidTr="005A198C">
        <w:tc>
          <w:tcPr>
            <w:tcW w:w="708" w:type="dxa"/>
            <w:tcBorders>
              <w:bottom w:val="single" w:sz="4" w:space="0" w:color="auto"/>
            </w:tcBorders>
          </w:tcPr>
          <w:p w14:paraId="3FD8F475" w14:textId="77777777" w:rsidR="00D84FEC" w:rsidRDefault="00D84FEC">
            <w:r>
              <w:t>C1</w:t>
            </w:r>
          </w:p>
          <w:p w14:paraId="0126F0FE" w14:textId="77777777" w:rsidR="00D84FEC" w:rsidRDefault="00D84FEC"/>
          <w:p w14:paraId="4DF7F47F" w14:textId="77777777" w:rsidR="00195AC0" w:rsidRDefault="00195AC0"/>
          <w:p w14:paraId="3C6B9D21" w14:textId="77777777" w:rsidR="00D66703" w:rsidRDefault="00D66703"/>
          <w:p w14:paraId="0777DD00" w14:textId="77777777" w:rsidR="00221966" w:rsidRDefault="00221966"/>
          <w:p w14:paraId="1C65EC98" w14:textId="77777777" w:rsidR="00D84FEC" w:rsidRDefault="00D84FEC">
            <w:r>
              <w:t>C2</w:t>
            </w:r>
          </w:p>
          <w:p w14:paraId="0D32416A" w14:textId="77777777" w:rsidR="00D84FEC" w:rsidRDefault="00D84FEC"/>
          <w:p w14:paraId="5C0429D7" w14:textId="77777777" w:rsidR="00B96E5D" w:rsidRDefault="00B96E5D"/>
          <w:p w14:paraId="26C60F00" w14:textId="77777777" w:rsidR="00D84FEC" w:rsidRDefault="00D84FEC">
            <w:r>
              <w:t>C3</w:t>
            </w:r>
          </w:p>
          <w:p w14:paraId="173A2A13" w14:textId="77777777" w:rsidR="00D84FEC" w:rsidRDefault="00D84FEC"/>
          <w:p w14:paraId="2D6CE1C9" w14:textId="77777777" w:rsidR="00E221BF" w:rsidRDefault="00E221BF"/>
          <w:p w14:paraId="451EAF6A" w14:textId="77777777" w:rsidR="00D84FEC" w:rsidRDefault="00D84FEC">
            <w:r>
              <w:t>C4</w:t>
            </w:r>
          </w:p>
          <w:p w14:paraId="453C55B7" w14:textId="77777777" w:rsidR="00D84FEC" w:rsidRDefault="00D84FEC"/>
          <w:p w14:paraId="36B13003" w14:textId="77777777" w:rsidR="00B27478" w:rsidRDefault="00B27478"/>
          <w:p w14:paraId="468BB776" w14:textId="77777777" w:rsidR="00B27478" w:rsidRDefault="00B27478"/>
          <w:p w14:paraId="7909F192" w14:textId="77777777" w:rsidR="00D84FEC" w:rsidRDefault="00D84FEC">
            <w:r>
              <w:t>C5</w:t>
            </w:r>
          </w:p>
          <w:p w14:paraId="0D8567BA" w14:textId="77777777" w:rsidR="00AB071F" w:rsidRDefault="00AB071F"/>
          <w:p w14:paraId="51E8FD72" w14:textId="77777777" w:rsidR="00CF5AD4" w:rsidRDefault="00CF5AD4"/>
          <w:p w14:paraId="724FE510" w14:textId="77777777" w:rsidR="00CF5AD4" w:rsidRDefault="00CF5AD4"/>
          <w:p w14:paraId="7E13912B" w14:textId="77777777" w:rsidR="00D84FEC" w:rsidRDefault="00D84FEC">
            <w:r>
              <w:t>C6</w:t>
            </w:r>
          </w:p>
          <w:p w14:paraId="4FB51049" w14:textId="77777777" w:rsidR="00D8318A" w:rsidRDefault="00D8318A"/>
          <w:p w14:paraId="703EAF7C" w14:textId="77777777" w:rsidR="00D84FEC" w:rsidRDefault="00D84FEC">
            <w:r>
              <w:t>C7</w:t>
            </w:r>
          </w:p>
          <w:p w14:paraId="2FDF28A0" w14:textId="77777777" w:rsidR="00D84FEC" w:rsidRDefault="00D84FEC"/>
          <w:p w14:paraId="1F265047" w14:textId="77777777" w:rsidR="00D84FEC" w:rsidRDefault="00D84FEC" w:rsidP="00D62530">
            <w:r>
              <w:t>C8</w:t>
            </w:r>
          </w:p>
          <w:p w14:paraId="1BE27894" w14:textId="77777777" w:rsidR="000923FC" w:rsidRDefault="000923FC" w:rsidP="00D62530"/>
          <w:p w14:paraId="5A3895DD" w14:textId="77777777" w:rsidR="00976C79" w:rsidRDefault="00976C79" w:rsidP="00D62530"/>
          <w:p w14:paraId="47DA1FCB" w14:textId="77777777" w:rsidR="000923FC" w:rsidRDefault="000923FC" w:rsidP="00D62530">
            <w:r>
              <w:t>C9</w:t>
            </w:r>
          </w:p>
          <w:p w14:paraId="160286CA" w14:textId="77777777" w:rsidR="006F7985" w:rsidRDefault="006F7985" w:rsidP="00D62530"/>
          <w:p w14:paraId="79F9B744" w14:textId="77777777" w:rsidR="004A06EB" w:rsidRDefault="004A06EB" w:rsidP="00D62530"/>
          <w:p w14:paraId="7BF89B45" w14:textId="77777777" w:rsidR="004A06EB" w:rsidRDefault="004A06EB" w:rsidP="00D62530"/>
          <w:p w14:paraId="0B6991BE" w14:textId="77777777" w:rsidR="004A06EB" w:rsidRDefault="004A06EB" w:rsidP="004A06EB">
            <w:r>
              <w:t>C10</w:t>
            </w:r>
          </w:p>
          <w:p w14:paraId="6C08DA3F" w14:textId="77777777" w:rsidR="004A06EB" w:rsidRDefault="004A06EB" w:rsidP="004A06EB"/>
          <w:p w14:paraId="2AA993E1" w14:textId="77777777" w:rsidR="004A06EB" w:rsidRDefault="004A06EB" w:rsidP="004A06EB"/>
          <w:p w14:paraId="469AF548" w14:textId="77777777" w:rsidR="004A06EB" w:rsidRDefault="004A06EB" w:rsidP="004A06EB">
            <w:r>
              <w:t>C11</w:t>
            </w:r>
          </w:p>
          <w:p w14:paraId="41C09D21" w14:textId="77777777" w:rsidR="004A06EB" w:rsidRDefault="004A06EB" w:rsidP="004A06EB"/>
          <w:p w14:paraId="1558C9E4" w14:textId="77777777" w:rsidR="004A06EB" w:rsidRDefault="004A06EB" w:rsidP="004A06EB"/>
          <w:p w14:paraId="0A45ED93" w14:textId="77777777" w:rsidR="004A06EB" w:rsidRDefault="004A06EB" w:rsidP="004A06EB">
            <w:r>
              <w:t>C12</w:t>
            </w:r>
          </w:p>
          <w:p w14:paraId="37B7C74A" w14:textId="77777777" w:rsidR="004A06EB" w:rsidRDefault="004A06EB" w:rsidP="004A06EB"/>
          <w:p w14:paraId="20654624" w14:textId="77777777" w:rsidR="00300B08" w:rsidRDefault="00300B08" w:rsidP="004A06EB"/>
        </w:tc>
        <w:tc>
          <w:tcPr>
            <w:tcW w:w="9358" w:type="dxa"/>
            <w:gridSpan w:val="15"/>
            <w:tcBorders>
              <w:bottom w:val="single" w:sz="4" w:space="0" w:color="auto"/>
            </w:tcBorders>
          </w:tcPr>
          <w:p w14:paraId="684087E7" w14:textId="0511C76E" w:rsidR="00D66703" w:rsidRDefault="00D66703" w:rsidP="00D6670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To negotiat</w:t>
            </w:r>
            <w:r w:rsidR="00A95440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and prepar</w:t>
            </w:r>
            <w:r w:rsidR="00A95440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all necessary </w:t>
            </w:r>
            <w:r w:rsidR="00566857">
              <w:rPr>
                <w:rFonts w:cs="Arial"/>
              </w:rPr>
              <w:t xml:space="preserve">Engineering, </w:t>
            </w:r>
            <w:r>
              <w:rPr>
                <w:rFonts w:cs="Arial"/>
              </w:rPr>
              <w:t>Rolling Stock Leases</w:t>
            </w:r>
            <w:r w:rsidR="00221966">
              <w:rPr>
                <w:rFonts w:cs="Arial"/>
              </w:rPr>
              <w:t xml:space="preserve">, </w:t>
            </w:r>
            <w:r w:rsidR="00CF5AD4">
              <w:rPr>
                <w:rFonts w:cs="Arial"/>
              </w:rPr>
              <w:t>Lease A</w:t>
            </w:r>
            <w:r>
              <w:rPr>
                <w:rFonts w:cs="Arial"/>
              </w:rPr>
              <w:t>mendments</w:t>
            </w:r>
            <w:r w:rsidR="00221966">
              <w:rPr>
                <w:rFonts w:cs="Arial"/>
              </w:rPr>
              <w:t>, Maintenance Contracts, Modification Contracts</w:t>
            </w:r>
            <w:r>
              <w:rPr>
                <w:rFonts w:cs="Arial"/>
              </w:rPr>
              <w:t xml:space="preserve"> </w:t>
            </w:r>
            <w:r w:rsidR="00221966">
              <w:rPr>
                <w:rFonts w:cs="Arial"/>
              </w:rPr>
              <w:t xml:space="preserve">and contract amendments </w:t>
            </w:r>
            <w:r>
              <w:rPr>
                <w:rFonts w:cs="Arial"/>
              </w:rPr>
              <w:t xml:space="preserve">required to </w:t>
            </w:r>
            <w:r w:rsidR="00221966">
              <w:rPr>
                <w:rFonts w:cs="Arial"/>
              </w:rPr>
              <w:t>maintain and enhance</w:t>
            </w:r>
            <w:r>
              <w:rPr>
                <w:rFonts w:cs="Arial"/>
              </w:rPr>
              <w:t xml:space="preserve"> the Southeastern fleet of Rolling Stock</w:t>
            </w:r>
            <w:r w:rsidR="00CF5AD4">
              <w:rPr>
                <w:rFonts w:cs="Arial"/>
              </w:rPr>
              <w:t xml:space="preserve"> and to implement Southeastern’s business objectives</w:t>
            </w:r>
            <w:r>
              <w:rPr>
                <w:rFonts w:cs="Arial"/>
              </w:rPr>
              <w:t>.</w:t>
            </w:r>
          </w:p>
          <w:p w14:paraId="0EAA84EF" w14:textId="77777777" w:rsidR="00D95F2F" w:rsidRDefault="00D95F2F" w:rsidP="00D53393">
            <w:pPr>
              <w:tabs>
                <w:tab w:val="left" w:pos="1440"/>
              </w:tabs>
              <w:rPr>
                <w:rFonts w:cs="Arial"/>
              </w:rPr>
            </w:pPr>
          </w:p>
          <w:p w14:paraId="3EBA7A66" w14:textId="292165A5" w:rsidR="00D66703" w:rsidRDefault="00D66703" w:rsidP="00D66703">
            <w:pPr>
              <w:rPr>
                <w:rFonts w:cs="Arial"/>
              </w:rPr>
            </w:pPr>
            <w:r>
              <w:rPr>
                <w:rFonts w:cs="Arial"/>
              </w:rPr>
              <w:t xml:space="preserve">To </w:t>
            </w:r>
            <w:r w:rsidR="006F7985">
              <w:rPr>
                <w:rFonts w:cs="Arial"/>
              </w:rPr>
              <w:t xml:space="preserve">manage </w:t>
            </w:r>
            <w:r>
              <w:rPr>
                <w:rFonts w:cs="Arial"/>
              </w:rPr>
              <w:t xml:space="preserve">the </w:t>
            </w:r>
            <w:r w:rsidR="00722A56">
              <w:rPr>
                <w:rFonts w:cs="Arial"/>
              </w:rPr>
              <w:t>day-to-day</w:t>
            </w:r>
            <w:r>
              <w:rPr>
                <w:rFonts w:cs="Arial"/>
              </w:rPr>
              <w:t xml:space="preserve"> relationships with ROSCOs </w:t>
            </w:r>
            <w:r w:rsidR="00722A56">
              <w:rPr>
                <w:rFonts w:cs="Arial"/>
              </w:rPr>
              <w:t xml:space="preserve">and </w:t>
            </w:r>
            <w:r w:rsidR="00566857">
              <w:rPr>
                <w:rFonts w:cs="Arial"/>
              </w:rPr>
              <w:t>E</w:t>
            </w:r>
            <w:r w:rsidR="006F7985">
              <w:rPr>
                <w:rFonts w:cs="Arial"/>
              </w:rPr>
              <w:t xml:space="preserve">ngineering suppliers </w:t>
            </w:r>
            <w:r>
              <w:rPr>
                <w:rFonts w:cs="Arial"/>
              </w:rPr>
              <w:t xml:space="preserve">and follow up all required lease </w:t>
            </w:r>
            <w:r w:rsidR="00B96E5D">
              <w:rPr>
                <w:rFonts w:cs="Arial"/>
              </w:rPr>
              <w:t xml:space="preserve">and contract </w:t>
            </w:r>
            <w:r w:rsidR="00AE7B24">
              <w:rPr>
                <w:rFonts w:cs="Arial"/>
              </w:rPr>
              <w:t>review actions</w:t>
            </w:r>
            <w:r>
              <w:rPr>
                <w:rFonts w:cs="Arial"/>
              </w:rPr>
              <w:t>.</w:t>
            </w:r>
          </w:p>
          <w:p w14:paraId="12F67007" w14:textId="77777777" w:rsidR="007C55C2" w:rsidRDefault="007C55C2" w:rsidP="00D66703">
            <w:pPr>
              <w:tabs>
                <w:tab w:val="left" w:pos="1440"/>
              </w:tabs>
              <w:rPr>
                <w:rFonts w:cs="Arial"/>
              </w:rPr>
            </w:pPr>
          </w:p>
          <w:p w14:paraId="13346F46" w14:textId="77777777" w:rsidR="00D66703" w:rsidRDefault="006F7985" w:rsidP="00D66703">
            <w:pPr>
              <w:rPr>
                <w:rFonts w:cs="Arial"/>
              </w:rPr>
            </w:pPr>
            <w:r>
              <w:rPr>
                <w:rFonts w:cs="Arial"/>
              </w:rPr>
              <w:t xml:space="preserve">To provide </w:t>
            </w:r>
            <w:r w:rsidR="00D66703">
              <w:rPr>
                <w:rFonts w:cs="Arial"/>
              </w:rPr>
              <w:t xml:space="preserve">support to the </w:t>
            </w:r>
            <w:r w:rsidR="004A06EB">
              <w:t>Head of Major Contracts</w:t>
            </w:r>
            <w:r w:rsidR="004A06EB">
              <w:rPr>
                <w:rFonts w:cs="Arial"/>
              </w:rPr>
              <w:t xml:space="preserve"> </w:t>
            </w:r>
            <w:r w:rsidR="00D66703">
              <w:rPr>
                <w:rFonts w:cs="Arial"/>
              </w:rPr>
              <w:t>for any contract</w:t>
            </w:r>
            <w:r w:rsidR="002D6581">
              <w:rPr>
                <w:rFonts w:cs="Arial"/>
              </w:rPr>
              <w:t xml:space="preserve"> management </w:t>
            </w:r>
            <w:r w:rsidR="00D66703">
              <w:rPr>
                <w:rFonts w:cs="Arial"/>
              </w:rPr>
              <w:t xml:space="preserve">task related to the </w:t>
            </w:r>
            <w:r w:rsidR="002D6581">
              <w:rPr>
                <w:rFonts w:cs="Arial"/>
              </w:rPr>
              <w:t xml:space="preserve">management and </w:t>
            </w:r>
            <w:r w:rsidR="00D66703">
              <w:rPr>
                <w:rFonts w:cs="Arial"/>
              </w:rPr>
              <w:t xml:space="preserve">performance of </w:t>
            </w:r>
            <w:r>
              <w:rPr>
                <w:rFonts w:cs="Arial"/>
              </w:rPr>
              <w:t xml:space="preserve">Southeastern’s </w:t>
            </w:r>
            <w:r w:rsidR="002D6581">
              <w:rPr>
                <w:rFonts w:cs="Arial"/>
              </w:rPr>
              <w:t>Engineering Contracts</w:t>
            </w:r>
            <w:r w:rsidR="00D66703">
              <w:rPr>
                <w:rFonts w:cs="Arial"/>
              </w:rPr>
              <w:t>.</w:t>
            </w:r>
          </w:p>
          <w:p w14:paraId="5D9D82C8" w14:textId="77777777" w:rsidR="00D66703" w:rsidRDefault="00D66703" w:rsidP="00D66703">
            <w:pPr>
              <w:rPr>
                <w:rFonts w:cs="Arial"/>
              </w:rPr>
            </w:pPr>
          </w:p>
          <w:p w14:paraId="7EAF0EE4" w14:textId="77777777" w:rsidR="00CA3CD5" w:rsidRDefault="006F7985" w:rsidP="00CA3CD5">
            <w:pPr>
              <w:tabs>
                <w:tab w:val="left" w:pos="14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To identify </w:t>
            </w:r>
            <w:r w:rsidR="00CA3CD5">
              <w:rPr>
                <w:rFonts w:cs="Arial"/>
              </w:rPr>
              <w:t xml:space="preserve">risks and opportunities through a sound understanding of </w:t>
            </w:r>
            <w:r>
              <w:rPr>
                <w:rFonts w:cs="Arial"/>
              </w:rPr>
              <w:t xml:space="preserve">Southeastern’s </w:t>
            </w:r>
            <w:r w:rsidR="002D6581">
              <w:rPr>
                <w:rFonts w:cs="Arial"/>
              </w:rPr>
              <w:t>Engineering Contracts</w:t>
            </w:r>
            <w:r w:rsidR="00CA3CD5">
              <w:rPr>
                <w:rFonts w:cs="Arial"/>
              </w:rPr>
              <w:t>, making recommendations to maximise profitability and mitigate key risks within these constraints.</w:t>
            </w:r>
          </w:p>
          <w:p w14:paraId="1CDB31AC" w14:textId="77777777" w:rsidR="00CA3CD5" w:rsidRDefault="00CA3CD5" w:rsidP="00CA3CD5">
            <w:pPr>
              <w:tabs>
                <w:tab w:val="left" w:pos="1440"/>
              </w:tabs>
              <w:rPr>
                <w:rFonts w:cs="Arial"/>
              </w:rPr>
            </w:pPr>
          </w:p>
          <w:p w14:paraId="200D5C3E" w14:textId="01453A25" w:rsidR="00CA3CD5" w:rsidRDefault="006F7985" w:rsidP="00D53393">
            <w:pPr>
              <w:tabs>
                <w:tab w:val="left" w:pos="14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To work </w:t>
            </w:r>
            <w:r w:rsidR="002D6581">
              <w:rPr>
                <w:rFonts w:cs="Arial"/>
              </w:rPr>
              <w:t>closely with other colleagues in Finance, in particular the Finance Business Partners and the Financial Accounting team</w:t>
            </w:r>
            <w:r w:rsidR="00976C79">
              <w:rPr>
                <w:rFonts w:cs="Arial"/>
              </w:rPr>
              <w:t xml:space="preserve"> to enable accurate business plans and budgeting and to answer questions raised by the financial accountants</w:t>
            </w:r>
            <w:r w:rsidR="002D6581">
              <w:rPr>
                <w:rFonts w:cs="Arial"/>
              </w:rPr>
              <w:t>.</w:t>
            </w:r>
          </w:p>
          <w:p w14:paraId="3B987850" w14:textId="77777777" w:rsidR="002D6581" w:rsidRDefault="002D6581" w:rsidP="00D53393">
            <w:pPr>
              <w:tabs>
                <w:tab w:val="left" w:pos="1440"/>
              </w:tabs>
              <w:rPr>
                <w:rFonts w:cs="Arial"/>
              </w:rPr>
            </w:pPr>
          </w:p>
          <w:p w14:paraId="634C5AF8" w14:textId="77777777" w:rsidR="00CA3CD5" w:rsidRDefault="006F7985" w:rsidP="00D53393">
            <w:pPr>
              <w:tabs>
                <w:tab w:val="left" w:pos="14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To be </w:t>
            </w:r>
            <w:r w:rsidR="00CA3CD5">
              <w:rPr>
                <w:rFonts w:cs="Arial"/>
              </w:rPr>
              <w:t xml:space="preserve">a trusted source of insight for </w:t>
            </w:r>
            <w:r w:rsidR="00DC15F7">
              <w:rPr>
                <w:rFonts w:cs="Arial"/>
              </w:rPr>
              <w:t xml:space="preserve">engineering </w:t>
            </w:r>
            <w:r w:rsidR="00B96E5D">
              <w:rPr>
                <w:rFonts w:cs="Arial"/>
              </w:rPr>
              <w:t xml:space="preserve">commercial </w:t>
            </w:r>
            <w:r>
              <w:rPr>
                <w:rFonts w:cs="Arial"/>
              </w:rPr>
              <w:t xml:space="preserve">and contractual </w:t>
            </w:r>
            <w:r w:rsidR="00B96E5D">
              <w:rPr>
                <w:rFonts w:cs="Arial"/>
              </w:rPr>
              <w:t>advice.</w:t>
            </w:r>
          </w:p>
          <w:p w14:paraId="034AC7FF" w14:textId="77777777" w:rsidR="007F3746" w:rsidRPr="007F3746" w:rsidRDefault="007F3746" w:rsidP="007F37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</w:p>
          <w:p w14:paraId="66E72454" w14:textId="77777777" w:rsidR="00AB4ACC" w:rsidRDefault="00976C79" w:rsidP="002D658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056C">
              <w:t xml:space="preserve">To support wider company projects </w:t>
            </w:r>
            <w:r>
              <w:t xml:space="preserve">and </w:t>
            </w:r>
            <w:r>
              <w:rPr>
                <w:rFonts w:cs="Arial"/>
                <w:bCs/>
              </w:rPr>
              <w:t>provide Project Manage</w:t>
            </w:r>
            <w:r w:rsidR="00D46012">
              <w:rPr>
                <w:rFonts w:cs="Arial"/>
                <w:bCs/>
              </w:rPr>
              <w:t>rs</w:t>
            </w:r>
            <w:r w:rsidR="004A06EB">
              <w:rPr>
                <w:rFonts w:cs="Arial"/>
                <w:bCs/>
              </w:rPr>
              <w:t xml:space="preserve"> with commercial expertise</w:t>
            </w:r>
            <w:r>
              <w:rPr>
                <w:rFonts w:cs="Arial"/>
              </w:rPr>
              <w:t>.</w:t>
            </w:r>
          </w:p>
          <w:p w14:paraId="4C69882E" w14:textId="77777777" w:rsidR="00AB4ACC" w:rsidRPr="006F7985" w:rsidRDefault="00AB4ACC" w:rsidP="00D53393">
            <w:pPr>
              <w:rPr>
                <w:rFonts w:cs="Arial"/>
              </w:rPr>
            </w:pPr>
          </w:p>
          <w:p w14:paraId="079A1924" w14:textId="77777777" w:rsidR="00976C79" w:rsidRDefault="00976C79" w:rsidP="000664BA">
            <w:pPr>
              <w:rPr>
                <w:rFonts w:cs="Arial"/>
              </w:rPr>
            </w:pPr>
            <w:r>
              <w:rPr>
                <w:rFonts w:cs="Arial"/>
              </w:rPr>
              <w:t xml:space="preserve">To ensure </w:t>
            </w:r>
            <w:r>
              <w:rPr>
                <w:rFonts w:cs="Arial"/>
                <w:iCs/>
              </w:rPr>
              <w:t>Southeastern’s Contracts Library and Contracts Database</w:t>
            </w:r>
            <w:r>
              <w:rPr>
                <w:rFonts w:cs="Arial"/>
              </w:rPr>
              <w:t xml:space="preserve"> are maintained, updated and accurate.</w:t>
            </w:r>
          </w:p>
          <w:p w14:paraId="3DC3380B" w14:textId="77777777" w:rsidR="00976C79" w:rsidRDefault="00976C79" w:rsidP="000664BA">
            <w:pPr>
              <w:rPr>
                <w:rFonts w:cs="Arial"/>
              </w:rPr>
            </w:pPr>
          </w:p>
          <w:p w14:paraId="0549E028" w14:textId="77777777" w:rsidR="00976C79" w:rsidRDefault="00976C79" w:rsidP="00B27478">
            <w:pPr>
              <w:rPr>
                <w:rFonts w:cs="Arial"/>
              </w:rPr>
            </w:pPr>
            <w:r>
              <w:rPr>
                <w:rFonts w:cs="Arial"/>
                <w:iCs/>
              </w:rPr>
              <w:t xml:space="preserve">To manage the necessary Oracle POs </w:t>
            </w:r>
            <w:r w:rsidR="00B27478">
              <w:rPr>
                <w:rFonts w:cs="Arial"/>
                <w:iCs/>
              </w:rPr>
              <w:t>(Purchase Requisitions and Receipts) and necessary Sales Orders, ensuring accurate and timely financial controls surround</w:t>
            </w:r>
            <w:r>
              <w:rPr>
                <w:rFonts w:cs="Arial"/>
                <w:iCs/>
              </w:rPr>
              <w:t xml:space="preserve"> Southeastern’s </w:t>
            </w:r>
            <w:r>
              <w:rPr>
                <w:rFonts w:cs="Arial"/>
                <w:bCs/>
              </w:rPr>
              <w:t xml:space="preserve">Engineering </w:t>
            </w:r>
            <w:r>
              <w:rPr>
                <w:rFonts w:cs="Arial"/>
              </w:rPr>
              <w:t>Contracts</w:t>
            </w:r>
            <w:r w:rsidR="00FA4ABA">
              <w:rPr>
                <w:rFonts w:cs="Arial"/>
              </w:rPr>
              <w:t>.</w:t>
            </w:r>
          </w:p>
          <w:p w14:paraId="7E29100E" w14:textId="77777777" w:rsidR="00B27478" w:rsidRDefault="00B27478" w:rsidP="00B27478">
            <w:pPr>
              <w:rPr>
                <w:b/>
              </w:rPr>
            </w:pPr>
          </w:p>
          <w:p w14:paraId="0859EBC4" w14:textId="77777777" w:rsidR="001317B8" w:rsidRDefault="001317B8" w:rsidP="001317B8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Advise the responsible Engineering Managers on the commercial and contractual framework applicable to their roles including in regard to warranty and performance regimes.</w:t>
            </w:r>
          </w:p>
          <w:p w14:paraId="7CB66949" w14:textId="77777777" w:rsidR="001317B8" w:rsidRDefault="001317B8" w:rsidP="00B27478">
            <w:pPr>
              <w:rPr>
                <w:b/>
              </w:rPr>
            </w:pPr>
          </w:p>
          <w:p w14:paraId="7CF2005D" w14:textId="36C7622E" w:rsidR="001317B8" w:rsidRDefault="001317B8" w:rsidP="001317B8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 xml:space="preserve">Provide the key commercial point of liaison between the </w:t>
            </w:r>
            <w:r w:rsidR="00D556B2">
              <w:rPr>
                <w:bCs/>
              </w:rPr>
              <w:t>Engineering</w:t>
            </w:r>
            <w:r w:rsidR="00016306">
              <w:rPr>
                <w:bCs/>
              </w:rPr>
              <w:t xml:space="preserve"> </w:t>
            </w:r>
            <w:r w:rsidR="004A06EB">
              <w:rPr>
                <w:rFonts w:cs="Arial"/>
                <w:bCs/>
                <w:szCs w:val="22"/>
              </w:rPr>
              <w:t xml:space="preserve">Directorate </w:t>
            </w:r>
            <w:r>
              <w:rPr>
                <w:bCs/>
              </w:rPr>
              <w:t xml:space="preserve">and </w:t>
            </w:r>
            <w:r w:rsidR="004A06EB">
              <w:rPr>
                <w:bCs/>
              </w:rPr>
              <w:t xml:space="preserve">the </w:t>
            </w:r>
            <w:r w:rsidR="00D556B2">
              <w:rPr>
                <w:bCs/>
              </w:rPr>
              <w:t xml:space="preserve">Finance </w:t>
            </w:r>
            <w:r w:rsidR="004A06EB">
              <w:rPr>
                <w:bCs/>
              </w:rPr>
              <w:t>Directorate.</w:t>
            </w:r>
          </w:p>
          <w:p w14:paraId="6B04F0E2" w14:textId="77777777" w:rsidR="001317B8" w:rsidRDefault="001317B8" w:rsidP="00B27478">
            <w:pPr>
              <w:rPr>
                <w:b/>
              </w:rPr>
            </w:pPr>
          </w:p>
          <w:p w14:paraId="379A0D1B" w14:textId="77777777" w:rsidR="001317B8" w:rsidRDefault="001317B8" w:rsidP="001317B8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Provide the Train Services Directorate with contract negotiation and commercial expertise in relation to Train Crew and other trading Agreements.</w:t>
            </w:r>
          </w:p>
          <w:p w14:paraId="2BF59A27" w14:textId="77777777" w:rsidR="001317B8" w:rsidRDefault="001317B8" w:rsidP="004A06EB">
            <w:pPr>
              <w:rPr>
                <w:b/>
              </w:rPr>
            </w:pPr>
          </w:p>
        </w:tc>
      </w:tr>
      <w:tr w:rsidR="00D8318A" w14:paraId="731E0E4C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7327D9C4" w14:textId="77777777" w:rsidR="00D8318A" w:rsidRDefault="00251073" w:rsidP="005576E8">
            <w:pPr>
              <w:pStyle w:val="Heading3"/>
            </w:pPr>
            <w:r>
              <w:rPr>
                <w:b w:val="0"/>
              </w:rPr>
              <w:lastRenderedPageBreak/>
              <w:br w:type="page"/>
            </w:r>
            <w:r w:rsidR="00D8318A">
              <w:t>D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5ADA38AD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00BD2416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75A0AAEE" w14:textId="77777777" w:rsidTr="005A198C">
        <w:trPr>
          <w:trHeight w:val="376"/>
        </w:trPr>
        <w:tc>
          <w:tcPr>
            <w:tcW w:w="708" w:type="dxa"/>
          </w:tcPr>
          <w:p w14:paraId="63175D30" w14:textId="77777777" w:rsidR="00251073" w:rsidRDefault="00251073" w:rsidP="008C1C4E">
            <w:r>
              <w:t>D1</w:t>
            </w:r>
          </w:p>
          <w:p w14:paraId="125EEF41" w14:textId="77777777" w:rsidR="00251073" w:rsidRDefault="00251073" w:rsidP="008C1C4E"/>
        </w:tc>
        <w:tc>
          <w:tcPr>
            <w:tcW w:w="6664" w:type="dxa"/>
            <w:gridSpan w:val="9"/>
          </w:tcPr>
          <w:p w14:paraId="5F0D4AE8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BFF8C43" w14:textId="77777777" w:rsidR="00251073" w:rsidRDefault="00251073" w:rsidP="008C1C4E">
            <w:r>
              <w:t>Yes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1FC" w14:textId="77777777" w:rsidR="00251073" w:rsidRDefault="00251073" w:rsidP="008C1C4E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6DB70A80" w14:textId="77777777" w:rsidR="00251073" w:rsidRDefault="00251073" w:rsidP="008C1C4E">
            <w:r>
              <w:t>No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50E" w14:textId="77777777" w:rsidR="00251073" w:rsidRPr="007C55C2" w:rsidRDefault="007C55C2" w:rsidP="007C55C2">
            <w:pPr>
              <w:jc w:val="center"/>
              <w:rPr>
                <w:b/>
                <w:sz w:val="32"/>
                <w:szCs w:val="32"/>
              </w:rPr>
            </w:pPr>
            <w:r w:rsidRPr="007C55C2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7C55C2" w14:paraId="4AEEAD32" w14:textId="77777777" w:rsidTr="005A198C">
        <w:tc>
          <w:tcPr>
            <w:tcW w:w="708" w:type="dxa"/>
          </w:tcPr>
          <w:p w14:paraId="2FCA6C4A" w14:textId="77777777" w:rsidR="007C55C2" w:rsidRDefault="007C55C2" w:rsidP="008C1C4E">
            <w:r>
              <w:t>D2</w:t>
            </w:r>
          </w:p>
          <w:p w14:paraId="03A9283B" w14:textId="77777777" w:rsidR="007C55C2" w:rsidRDefault="007C55C2" w:rsidP="008C1C4E"/>
        </w:tc>
        <w:tc>
          <w:tcPr>
            <w:tcW w:w="6664" w:type="dxa"/>
            <w:gridSpan w:val="9"/>
          </w:tcPr>
          <w:p w14:paraId="0B790EA4" w14:textId="77777777" w:rsidR="007C55C2" w:rsidRDefault="007C55C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E336DB0" w14:textId="77777777" w:rsidR="007C55C2" w:rsidRDefault="007C55C2" w:rsidP="008C1C4E">
            <w:r>
              <w:t>Yes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70C" w14:textId="77777777" w:rsidR="007C55C2" w:rsidRDefault="007C55C2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5DC697" w14:textId="77777777" w:rsidR="007C55C2" w:rsidRDefault="007C55C2" w:rsidP="008C1C4E">
            <w:r>
              <w:t>No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89E3" w14:textId="77777777" w:rsidR="007C55C2" w:rsidRPr="007C55C2" w:rsidRDefault="007C55C2" w:rsidP="001B03AA">
            <w:pPr>
              <w:jc w:val="center"/>
              <w:rPr>
                <w:b/>
                <w:sz w:val="32"/>
                <w:szCs w:val="32"/>
              </w:rPr>
            </w:pPr>
            <w:r w:rsidRPr="007C55C2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7C55C2" w14:paraId="2FEDC5CB" w14:textId="77777777" w:rsidTr="005A198C">
        <w:tc>
          <w:tcPr>
            <w:tcW w:w="708" w:type="dxa"/>
          </w:tcPr>
          <w:p w14:paraId="417727F0" w14:textId="77777777" w:rsidR="007C55C2" w:rsidRDefault="007C55C2" w:rsidP="008C1C4E">
            <w:r>
              <w:t>D3</w:t>
            </w:r>
          </w:p>
          <w:p w14:paraId="1343F4B0" w14:textId="77777777" w:rsidR="007C55C2" w:rsidRDefault="007C55C2" w:rsidP="008C1C4E"/>
        </w:tc>
        <w:tc>
          <w:tcPr>
            <w:tcW w:w="6664" w:type="dxa"/>
            <w:gridSpan w:val="9"/>
          </w:tcPr>
          <w:p w14:paraId="310EB6E4" w14:textId="77777777" w:rsidR="007C55C2" w:rsidRDefault="007C55C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C8B1016" w14:textId="77777777" w:rsidR="007C55C2" w:rsidRDefault="007C55C2" w:rsidP="008C1C4E">
            <w:r>
              <w:t>Yes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BDE" w14:textId="77777777" w:rsidR="007C55C2" w:rsidRDefault="007C55C2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96F40" w14:textId="77777777" w:rsidR="007C55C2" w:rsidRDefault="007C55C2" w:rsidP="008C1C4E">
            <w:r>
              <w:t>No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CEA7" w14:textId="77777777" w:rsidR="007C55C2" w:rsidRPr="007C55C2" w:rsidRDefault="007C55C2" w:rsidP="001B03AA">
            <w:pPr>
              <w:jc w:val="center"/>
              <w:rPr>
                <w:b/>
                <w:sz w:val="32"/>
                <w:szCs w:val="32"/>
              </w:rPr>
            </w:pPr>
            <w:r w:rsidRPr="007C55C2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7C55C2" w14:paraId="791771C0" w14:textId="77777777" w:rsidTr="005A198C">
        <w:trPr>
          <w:trHeight w:val="347"/>
        </w:trPr>
        <w:tc>
          <w:tcPr>
            <w:tcW w:w="708" w:type="dxa"/>
          </w:tcPr>
          <w:p w14:paraId="4FC9D097" w14:textId="77777777" w:rsidR="007C55C2" w:rsidRDefault="007C55C2" w:rsidP="008C1C4E">
            <w:r>
              <w:t>D4</w:t>
            </w:r>
          </w:p>
        </w:tc>
        <w:tc>
          <w:tcPr>
            <w:tcW w:w="6664" w:type="dxa"/>
            <w:gridSpan w:val="9"/>
          </w:tcPr>
          <w:p w14:paraId="0C541483" w14:textId="77777777" w:rsidR="007C55C2" w:rsidRDefault="007C55C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0A3AF66" w14:textId="77777777" w:rsidR="007C55C2" w:rsidRDefault="007C55C2" w:rsidP="008C1C4E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28C8C4E" w14:textId="77777777" w:rsidR="007C55C2" w:rsidRDefault="007C55C2" w:rsidP="008C1C4E">
            <w:r>
              <w:t>Yes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BA4" w14:textId="77777777" w:rsidR="007C55C2" w:rsidRDefault="007C55C2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CDD6E" w14:textId="77777777" w:rsidR="007C55C2" w:rsidRDefault="007C55C2" w:rsidP="008C1C4E">
            <w:r>
              <w:t>No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06A" w14:textId="77777777" w:rsidR="007C55C2" w:rsidRPr="007C55C2" w:rsidRDefault="007C55C2" w:rsidP="001B03AA">
            <w:pPr>
              <w:jc w:val="center"/>
              <w:rPr>
                <w:b/>
                <w:sz w:val="32"/>
                <w:szCs w:val="32"/>
              </w:rPr>
            </w:pPr>
            <w:r w:rsidRPr="007C55C2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7C55C2" w14:paraId="55B71AE2" w14:textId="77777777" w:rsidTr="005A198C">
        <w:trPr>
          <w:trHeight w:val="525"/>
        </w:trPr>
        <w:tc>
          <w:tcPr>
            <w:tcW w:w="708" w:type="dxa"/>
          </w:tcPr>
          <w:p w14:paraId="1373C924" w14:textId="77777777" w:rsidR="007C55C2" w:rsidRDefault="007C55C2" w:rsidP="008C1C4E">
            <w:r>
              <w:t>D5</w:t>
            </w:r>
          </w:p>
        </w:tc>
        <w:tc>
          <w:tcPr>
            <w:tcW w:w="6664" w:type="dxa"/>
            <w:gridSpan w:val="9"/>
          </w:tcPr>
          <w:p w14:paraId="5BF83455" w14:textId="77777777" w:rsidR="007C55C2" w:rsidRPr="00626E01" w:rsidRDefault="007C55C2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BFC7AF1" w14:textId="77777777" w:rsidR="007C55C2" w:rsidRDefault="007C55C2" w:rsidP="008C1C4E">
            <w:r>
              <w:t>Yes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622" w14:textId="77777777" w:rsidR="007C55C2" w:rsidRDefault="007C55C2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5FD03" w14:textId="77777777" w:rsidR="007C55C2" w:rsidRDefault="007C55C2" w:rsidP="008C1C4E">
            <w:r>
              <w:t>No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1CE" w14:textId="77777777" w:rsidR="007C55C2" w:rsidRPr="007C55C2" w:rsidRDefault="007C55C2" w:rsidP="001B03AA">
            <w:pPr>
              <w:jc w:val="center"/>
              <w:rPr>
                <w:b/>
                <w:sz w:val="32"/>
                <w:szCs w:val="32"/>
              </w:rPr>
            </w:pPr>
            <w:r w:rsidRPr="007C55C2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66DA02DB" w14:textId="77777777" w:rsidTr="005A198C">
        <w:tc>
          <w:tcPr>
            <w:tcW w:w="708" w:type="dxa"/>
          </w:tcPr>
          <w:p w14:paraId="6C8F4224" w14:textId="77777777" w:rsidR="00251073" w:rsidRDefault="00251073" w:rsidP="008C1C4E">
            <w:pPr>
              <w:pStyle w:val="Heading3"/>
            </w:pPr>
          </w:p>
        </w:tc>
        <w:tc>
          <w:tcPr>
            <w:tcW w:w="9358" w:type="dxa"/>
            <w:gridSpan w:val="15"/>
          </w:tcPr>
          <w:p w14:paraId="4EE94A73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3FE63A31" w14:textId="77777777" w:rsidTr="005A198C">
        <w:tc>
          <w:tcPr>
            <w:tcW w:w="708" w:type="dxa"/>
          </w:tcPr>
          <w:p w14:paraId="54AC66AC" w14:textId="77777777" w:rsidR="00251073" w:rsidRDefault="00251073" w:rsidP="005576E8">
            <w:r>
              <w:t>D6</w:t>
            </w:r>
          </w:p>
        </w:tc>
        <w:tc>
          <w:tcPr>
            <w:tcW w:w="9358" w:type="dxa"/>
            <w:gridSpan w:val="15"/>
          </w:tcPr>
          <w:p w14:paraId="74EBA986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0FD3801B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5BB8CBD7" w14:textId="77777777" w:rsidTr="005A198C">
        <w:tc>
          <w:tcPr>
            <w:tcW w:w="708" w:type="dxa"/>
          </w:tcPr>
          <w:p w14:paraId="7E532DFB" w14:textId="77777777" w:rsidR="00251073" w:rsidRDefault="00251073" w:rsidP="008C1C4E"/>
        </w:tc>
        <w:tc>
          <w:tcPr>
            <w:tcW w:w="9358" w:type="dxa"/>
            <w:gridSpan w:val="15"/>
          </w:tcPr>
          <w:p w14:paraId="581801A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2C033250" w14:textId="77777777" w:rsidR="00251073" w:rsidRDefault="00851A34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11AE0314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251073" w14:paraId="43E99349" w14:textId="77777777" w:rsidTr="005A198C">
        <w:tc>
          <w:tcPr>
            <w:tcW w:w="708" w:type="dxa"/>
          </w:tcPr>
          <w:p w14:paraId="5B70CC13" w14:textId="77777777" w:rsidR="00251073" w:rsidRDefault="00251073" w:rsidP="005576E8"/>
        </w:tc>
        <w:tc>
          <w:tcPr>
            <w:tcW w:w="9358" w:type="dxa"/>
            <w:gridSpan w:val="15"/>
          </w:tcPr>
          <w:p w14:paraId="1151CDFF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0A5861FE" w14:textId="77777777" w:rsidR="00251073" w:rsidRDefault="00851A34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7BB40325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697463E8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72C42046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6917059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33DEB30" w14:textId="77777777" w:rsidR="00D84FEC" w:rsidRDefault="00D84FEC">
            <w:pPr>
              <w:rPr>
                <w:b/>
              </w:rPr>
            </w:pPr>
          </w:p>
        </w:tc>
      </w:tr>
      <w:tr w:rsidR="00D84FEC" w14:paraId="6590004A" w14:textId="77777777" w:rsidTr="005A198C">
        <w:tc>
          <w:tcPr>
            <w:tcW w:w="708" w:type="dxa"/>
            <w:tcBorders>
              <w:bottom w:val="single" w:sz="4" w:space="0" w:color="auto"/>
            </w:tcBorders>
          </w:tcPr>
          <w:p w14:paraId="3129A275" w14:textId="77777777" w:rsidR="00D84FEC" w:rsidRDefault="00D8318A">
            <w:r>
              <w:t>E</w:t>
            </w:r>
            <w:r w:rsidR="00D84FEC">
              <w:t>1</w:t>
            </w:r>
          </w:p>
          <w:p w14:paraId="254A40EA" w14:textId="77777777" w:rsidR="00D84FEC" w:rsidRDefault="00D84FEC"/>
          <w:p w14:paraId="2CA925C1" w14:textId="77777777" w:rsidR="004430D1" w:rsidRDefault="004430D1"/>
          <w:p w14:paraId="701A214C" w14:textId="77777777" w:rsidR="00D84FEC" w:rsidRDefault="00D8318A">
            <w:r>
              <w:t>E</w:t>
            </w:r>
            <w:r w:rsidR="00D84FEC">
              <w:t>2</w:t>
            </w:r>
          </w:p>
          <w:p w14:paraId="357C45B0" w14:textId="77777777" w:rsidR="00912188" w:rsidRDefault="00912188"/>
          <w:p w14:paraId="7B8A4C1F" w14:textId="77777777" w:rsidR="002D6581" w:rsidRDefault="002D6581"/>
          <w:p w14:paraId="039743A4" w14:textId="77777777" w:rsidR="00912188" w:rsidRDefault="00912188">
            <w:r>
              <w:t>E3</w:t>
            </w:r>
          </w:p>
          <w:p w14:paraId="5D0AA027" w14:textId="77777777" w:rsidR="002D6581" w:rsidRDefault="002D6581"/>
          <w:p w14:paraId="7BAECD22" w14:textId="77777777" w:rsidR="002D6581" w:rsidRDefault="002D6581">
            <w:r>
              <w:t>E4</w:t>
            </w:r>
          </w:p>
          <w:p w14:paraId="7C0090CD" w14:textId="77777777" w:rsidR="00542167" w:rsidRDefault="00542167"/>
          <w:p w14:paraId="3CC007A0" w14:textId="77777777" w:rsidR="00542167" w:rsidRDefault="00542167"/>
        </w:tc>
        <w:tc>
          <w:tcPr>
            <w:tcW w:w="9358" w:type="dxa"/>
            <w:gridSpan w:val="15"/>
            <w:tcBorders>
              <w:bottom w:val="single" w:sz="4" w:space="0" w:color="auto"/>
            </w:tcBorders>
          </w:tcPr>
          <w:p w14:paraId="2DF16868" w14:textId="77777777" w:rsidR="002D6581" w:rsidRDefault="002D6581" w:rsidP="009E24AF">
            <w:pPr>
              <w:rPr>
                <w:bCs/>
              </w:rPr>
            </w:pPr>
            <w:r>
              <w:rPr>
                <w:rFonts w:cs="Arial"/>
                <w:bCs/>
              </w:rPr>
              <w:t xml:space="preserve">Implement and manage the existing contractual relationships within the guidelines set by the </w:t>
            </w:r>
            <w:r w:rsidR="005F2A19">
              <w:t>Head of Major Contracts</w:t>
            </w:r>
            <w:r>
              <w:rPr>
                <w:rFonts w:cs="Arial"/>
                <w:bCs/>
              </w:rPr>
              <w:t>.</w:t>
            </w:r>
          </w:p>
          <w:p w14:paraId="213F2B1C" w14:textId="77777777" w:rsidR="002D6581" w:rsidRDefault="002D6581" w:rsidP="009E24AF">
            <w:pPr>
              <w:rPr>
                <w:bCs/>
              </w:rPr>
            </w:pPr>
          </w:p>
          <w:p w14:paraId="0F659609" w14:textId="77777777" w:rsidR="009E24AF" w:rsidRDefault="009E24AF" w:rsidP="009E24AF">
            <w:pPr>
              <w:rPr>
                <w:bCs/>
              </w:rPr>
            </w:pPr>
            <w:r>
              <w:rPr>
                <w:bCs/>
              </w:rPr>
              <w:t xml:space="preserve">Authorised to review and recommend changes to </w:t>
            </w:r>
            <w:r w:rsidR="002D6581">
              <w:rPr>
                <w:bCs/>
              </w:rPr>
              <w:t xml:space="preserve">contracts and contract variations, in conjunction with Southeastern’s </w:t>
            </w:r>
            <w:r w:rsidR="00035F3F">
              <w:rPr>
                <w:bCs/>
              </w:rPr>
              <w:t>legal advisors</w:t>
            </w:r>
            <w:r>
              <w:rPr>
                <w:bCs/>
              </w:rPr>
              <w:t>.</w:t>
            </w:r>
          </w:p>
          <w:p w14:paraId="473987F9" w14:textId="77777777" w:rsidR="009E24AF" w:rsidRDefault="009E24AF" w:rsidP="009E24AF">
            <w:pPr>
              <w:rPr>
                <w:bCs/>
              </w:rPr>
            </w:pPr>
          </w:p>
          <w:p w14:paraId="052237D9" w14:textId="77777777" w:rsidR="002D6581" w:rsidRDefault="002D6581" w:rsidP="002D658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business case justification for any new contract.</w:t>
            </w:r>
          </w:p>
          <w:p w14:paraId="0CC531E3" w14:textId="77777777" w:rsidR="009E24AF" w:rsidRDefault="009E24AF" w:rsidP="009E24AF">
            <w:pPr>
              <w:rPr>
                <w:bCs/>
              </w:rPr>
            </w:pPr>
          </w:p>
          <w:p w14:paraId="041791D5" w14:textId="77777777" w:rsidR="00D84FEC" w:rsidRDefault="009E24AF">
            <w:pPr>
              <w:rPr>
                <w:bCs/>
              </w:rPr>
            </w:pPr>
            <w:r>
              <w:rPr>
                <w:bCs/>
              </w:rPr>
              <w:t>Authorised to attend meetings with external companies and organisations and represent Southeastern’s interests at those meetings</w:t>
            </w:r>
            <w:r w:rsidR="002D6581">
              <w:rPr>
                <w:rFonts w:cs="Arial"/>
                <w:bCs/>
              </w:rPr>
              <w:t xml:space="preserve"> within the guidelines set by the </w:t>
            </w:r>
            <w:r w:rsidR="005F2A19">
              <w:t>Head of Major Contracts</w:t>
            </w:r>
            <w:r>
              <w:rPr>
                <w:bCs/>
              </w:rPr>
              <w:t>.</w:t>
            </w:r>
          </w:p>
          <w:p w14:paraId="17424CFB" w14:textId="77777777" w:rsidR="002D6581" w:rsidRPr="009E24AF" w:rsidRDefault="002D6581">
            <w:pPr>
              <w:rPr>
                <w:bCs/>
              </w:rPr>
            </w:pPr>
          </w:p>
        </w:tc>
      </w:tr>
      <w:tr w:rsidR="00D84FEC" w14:paraId="7D48EE58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6067FF2E" w14:textId="77777777" w:rsidR="00D84FEC" w:rsidRDefault="00D8318A">
            <w:pPr>
              <w:pStyle w:val="Heading3"/>
            </w:pPr>
            <w:r>
              <w:lastRenderedPageBreak/>
              <w:t>F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10B581E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1E45F807" w14:textId="77777777" w:rsidR="00D84FEC" w:rsidRDefault="00D84FEC">
            <w:pPr>
              <w:rPr>
                <w:b/>
              </w:rPr>
            </w:pPr>
          </w:p>
        </w:tc>
      </w:tr>
      <w:tr w:rsidR="00D84FEC" w14:paraId="59DDBF8B" w14:textId="77777777" w:rsidTr="005A198C">
        <w:tc>
          <w:tcPr>
            <w:tcW w:w="708" w:type="dxa"/>
          </w:tcPr>
          <w:p w14:paraId="71ECA2F2" w14:textId="77777777" w:rsidR="00D84FEC" w:rsidRDefault="00D8318A">
            <w:r>
              <w:t>F</w:t>
            </w:r>
            <w:r w:rsidR="00D84FEC">
              <w:t>1</w:t>
            </w:r>
          </w:p>
          <w:p w14:paraId="1E341D38" w14:textId="77777777" w:rsidR="00D84FEC" w:rsidRDefault="00D84FEC"/>
          <w:p w14:paraId="5051B832" w14:textId="77777777" w:rsidR="00A42843" w:rsidRDefault="00A42843">
            <w:r>
              <w:t>F2</w:t>
            </w:r>
          </w:p>
          <w:p w14:paraId="6A14419C" w14:textId="77777777" w:rsidR="00A42843" w:rsidRDefault="00A42843"/>
          <w:p w14:paraId="2625E9A5" w14:textId="77777777" w:rsidR="00A42843" w:rsidRDefault="00A42843">
            <w:r>
              <w:t>F3</w:t>
            </w:r>
          </w:p>
        </w:tc>
        <w:tc>
          <w:tcPr>
            <w:tcW w:w="9358" w:type="dxa"/>
            <w:gridSpan w:val="15"/>
          </w:tcPr>
          <w:p w14:paraId="17812EF8" w14:textId="77777777" w:rsidR="00BF55AC" w:rsidRDefault="00BF55AC" w:rsidP="00BF55AC">
            <w:pPr>
              <w:rPr>
                <w:bCs/>
              </w:rPr>
            </w:pPr>
            <w:r>
              <w:rPr>
                <w:bCs/>
              </w:rPr>
              <w:t xml:space="preserve">Managing conflicting business </w:t>
            </w:r>
            <w:r w:rsidR="005F2A19">
              <w:rPr>
                <w:bCs/>
              </w:rPr>
              <w:t>requirements.</w:t>
            </w:r>
          </w:p>
          <w:p w14:paraId="51F39345" w14:textId="77777777" w:rsidR="00BF55AC" w:rsidRDefault="00BF55AC" w:rsidP="00BF55AC">
            <w:pPr>
              <w:rPr>
                <w:bCs/>
              </w:rPr>
            </w:pPr>
          </w:p>
          <w:p w14:paraId="08659A3B" w14:textId="77777777" w:rsidR="00BF55AC" w:rsidRDefault="006F7985" w:rsidP="00BF55AC">
            <w:pPr>
              <w:rPr>
                <w:bCs/>
              </w:rPr>
            </w:pPr>
            <w:r>
              <w:rPr>
                <w:bCs/>
              </w:rPr>
              <w:t xml:space="preserve">Delivery </w:t>
            </w:r>
            <w:r w:rsidR="00BF55AC">
              <w:rPr>
                <w:bCs/>
              </w:rPr>
              <w:t xml:space="preserve">to tight deadlines and </w:t>
            </w:r>
            <w:r w:rsidR="002D6581">
              <w:rPr>
                <w:bCs/>
              </w:rPr>
              <w:t>reviewing</w:t>
            </w:r>
            <w:r w:rsidR="00BF55AC">
              <w:rPr>
                <w:bCs/>
              </w:rPr>
              <w:t xml:space="preserve"> large </w:t>
            </w:r>
            <w:r w:rsidR="002D6581">
              <w:rPr>
                <w:bCs/>
              </w:rPr>
              <w:t>and complex contacts.</w:t>
            </w:r>
          </w:p>
          <w:p w14:paraId="3CDA8CF2" w14:textId="77777777" w:rsidR="002D6581" w:rsidRDefault="002D6581" w:rsidP="00BF55AC">
            <w:pPr>
              <w:rPr>
                <w:bCs/>
              </w:rPr>
            </w:pPr>
          </w:p>
          <w:p w14:paraId="594C296A" w14:textId="1EBC250B" w:rsidR="00A42843" w:rsidRDefault="00BF55AC" w:rsidP="00096DFD">
            <w:pPr>
              <w:rPr>
                <w:b/>
              </w:rPr>
            </w:pPr>
            <w:r>
              <w:rPr>
                <w:bCs/>
              </w:rPr>
              <w:t>Understanding the technical aspects of Southeastern</w:t>
            </w:r>
            <w:r w:rsidR="002D6581">
              <w:rPr>
                <w:bCs/>
              </w:rPr>
              <w:t xml:space="preserve">’s </w:t>
            </w:r>
            <w:r w:rsidR="00566857">
              <w:rPr>
                <w:bCs/>
              </w:rPr>
              <w:t xml:space="preserve">Engineering, </w:t>
            </w:r>
            <w:r w:rsidR="002D6581">
              <w:rPr>
                <w:bCs/>
              </w:rPr>
              <w:t>Rolling Stock and maintenance practises to ensure that the contracts are fit for purpose and provide safe, reliable Rolling Stock that meets customer expectations.</w:t>
            </w:r>
          </w:p>
        </w:tc>
      </w:tr>
      <w:tr w:rsidR="00D84FEC" w14:paraId="4902E110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2B0A10E3" w14:textId="77777777" w:rsidR="00D84FEC" w:rsidRDefault="004540EB" w:rsidP="001F19A9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3C36A2B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170C2C0E" w14:textId="77777777" w:rsidR="00D84FEC" w:rsidRDefault="00D84FEC">
            <w:pPr>
              <w:rPr>
                <w:b/>
              </w:rPr>
            </w:pPr>
          </w:p>
        </w:tc>
      </w:tr>
      <w:tr w:rsidR="00C779C3" w14:paraId="75E619A3" w14:textId="77777777" w:rsidTr="005A198C">
        <w:tc>
          <w:tcPr>
            <w:tcW w:w="708" w:type="dxa"/>
          </w:tcPr>
          <w:p w14:paraId="0E8103B3" w14:textId="77777777" w:rsidR="00C779C3" w:rsidRDefault="00C779C3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8" w:type="dxa"/>
            <w:gridSpan w:val="15"/>
          </w:tcPr>
          <w:p w14:paraId="06779830" w14:textId="77777777" w:rsidR="00C779C3" w:rsidRPr="009E35DA" w:rsidRDefault="00C779C3" w:rsidP="00EF0ACD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351618B8" w14:textId="77777777" w:rsidR="00C779C3" w:rsidRPr="009E35DA" w:rsidRDefault="00C779C3" w:rsidP="00EF0ACD">
            <w:pPr>
              <w:pStyle w:val="Heading3"/>
              <w:rPr>
                <w:b w:val="0"/>
              </w:rPr>
            </w:pPr>
          </w:p>
          <w:p w14:paraId="2BBF15EC" w14:textId="77777777" w:rsidR="00C779C3" w:rsidRDefault="00C779C3" w:rsidP="00EF0ACD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5CB8D8B9" w14:textId="77777777" w:rsidR="00C779C3" w:rsidRPr="001C27DB" w:rsidRDefault="00C779C3" w:rsidP="00EF0AC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A5F10D1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6C14F312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ABDEEE0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6381F298" w14:textId="77777777" w:rsidR="00C779C3" w:rsidRPr="001C27DB" w:rsidRDefault="00C779C3" w:rsidP="00EF0AC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B44AEBA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64EFD28F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5F6DB29B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E69CB6A" w14:textId="77777777" w:rsidR="00C779C3" w:rsidRPr="001C27DB" w:rsidRDefault="00C779C3" w:rsidP="00EF0AC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BAD5297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3461D5C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03E1163C" w14:textId="77777777" w:rsidR="00C779C3" w:rsidRPr="001C27DB" w:rsidRDefault="00C779C3" w:rsidP="00EF0AC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D1EBE08" w14:textId="77777777" w:rsidR="00C779C3" w:rsidRDefault="00C779C3" w:rsidP="00EF0ACD"/>
          <w:p w14:paraId="4F6D28A0" w14:textId="77777777" w:rsidR="00C779C3" w:rsidRDefault="00C779C3" w:rsidP="00EF0ACD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29BC555F" w14:textId="77777777" w:rsidR="00C779C3" w:rsidRPr="0047042B" w:rsidRDefault="00C779C3" w:rsidP="00EF0ACD"/>
          <w:p w14:paraId="3923EFC9" w14:textId="785579B7" w:rsidR="00C779C3" w:rsidRPr="0047042B" w:rsidRDefault="00C779C3" w:rsidP="00EF0ACD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B41F917" wp14:editId="05681733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357505</wp:posOffset>
                  </wp:positionV>
                  <wp:extent cx="2895600" cy="2952750"/>
                  <wp:effectExtent l="19050" t="0" r="0" b="0"/>
                  <wp:wrapSquare wrapText="bothSides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3956" t="21988" r="22929" b="1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32B2B66E" w14:textId="5CA9C773" w:rsidR="00C779C3" w:rsidRDefault="00C779C3" w:rsidP="00EF0ACD">
            <w:pPr>
              <w:rPr>
                <w:noProof/>
                <w:lang w:eastAsia="en-GB"/>
              </w:rPr>
            </w:pPr>
          </w:p>
          <w:p w14:paraId="0D0D6D96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5731BBE1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2A017CE8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1621A5C7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23E18070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1D09048F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7E009A71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7831DF9A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2C5C0F35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62C02C42" w14:textId="77777777" w:rsidR="00C779C3" w:rsidRDefault="00C779C3" w:rsidP="00EF0ACD">
            <w:pPr>
              <w:rPr>
                <w:noProof/>
                <w:lang w:eastAsia="en-GB"/>
              </w:rPr>
            </w:pPr>
          </w:p>
          <w:p w14:paraId="016ECF2D" w14:textId="77777777" w:rsidR="00C779C3" w:rsidRDefault="00C779C3" w:rsidP="00EF0ACD">
            <w:r>
              <w:t>All shortlisted candidates seeking promotion will be assessed against this framework.</w:t>
            </w:r>
          </w:p>
          <w:p w14:paraId="130E93BE" w14:textId="77777777" w:rsidR="00C779C3" w:rsidRDefault="00C779C3" w:rsidP="00EF0ACD"/>
          <w:p w14:paraId="3146A1D0" w14:textId="77777777" w:rsidR="00C779C3" w:rsidRDefault="00C779C3" w:rsidP="00EF0ACD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7DBA79F8" w14:textId="77777777" w:rsidR="00C779C3" w:rsidRDefault="00C779C3" w:rsidP="00EF0ACD">
            <w:pPr>
              <w:rPr>
                <w:b/>
              </w:rPr>
            </w:pPr>
          </w:p>
        </w:tc>
      </w:tr>
      <w:tr w:rsidR="00D84FEC" w14:paraId="479DE45F" w14:textId="77777777" w:rsidTr="005A198C">
        <w:tc>
          <w:tcPr>
            <w:tcW w:w="708" w:type="dxa"/>
          </w:tcPr>
          <w:p w14:paraId="17727216" w14:textId="77777777" w:rsidR="00D84FEC" w:rsidRDefault="004540EB" w:rsidP="00C779C3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8" w:type="dxa"/>
            <w:gridSpan w:val="15"/>
          </w:tcPr>
          <w:p w14:paraId="1C8F70D0" w14:textId="77777777" w:rsidR="00D84FEC" w:rsidRDefault="00D84FEC">
            <w:pPr>
              <w:pStyle w:val="Heading3"/>
            </w:pPr>
            <w:r>
              <w:t>Experie</w:t>
            </w:r>
            <w:r w:rsidR="0061013D">
              <w:t>nce, Knowledge &amp; Qualifications</w:t>
            </w:r>
          </w:p>
          <w:p w14:paraId="45E7A597" w14:textId="77777777" w:rsidR="00480648" w:rsidRDefault="00480648" w:rsidP="00480648">
            <w:pPr>
              <w:rPr>
                <w:bCs/>
              </w:rPr>
            </w:pPr>
          </w:p>
          <w:p w14:paraId="62C87D60" w14:textId="77777777" w:rsidR="00885DAE" w:rsidRDefault="00722A56" w:rsidP="00885DAE">
            <w:pPr>
              <w:rPr>
                <w:bCs/>
              </w:rPr>
            </w:pPr>
            <w:r>
              <w:rPr>
                <w:rFonts w:cs="Arial"/>
                <w:bCs/>
              </w:rPr>
              <w:t xml:space="preserve">Educated to degree standard </w:t>
            </w:r>
            <w:r w:rsidR="00B96E5D">
              <w:rPr>
                <w:bCs/>
              </w:rPr>
              <w:t>or equivalent</w:t>
            </w:r>
            <w:r w:rsidR="003C6417">
              <w:rPr>
                <w:bCs/>
              </w:rPr>
              <w:t xml:space="preserve"> level of experience</w:t>
            </w:r>
            <w:r w:rsidR="0061013D">
              <w:rPr>
                <w:bCs/>
              </w:rPr>
              <w:t>.</w:t>
            </w:r>
          </w:p>
          <w:p w14:paraId="407EBED1" w14:textId="77777777" w:rsidR="00885DAE" w:rsidRDefault="00885DAE" w:rsidP="00885DAE">
            <w:pPr>
              <w:rPr>
                <w:bCs/>
              </w:rPr>
            </w:pPr>
          </w:p>
          <w:p w14:paraId="596B23D4" w14:textId="77777777" w:rsidR="00885DAE" w:rsidRDefault="00885DAE" w:rsidP="00885DAE">
            <w:pPr>
              <w:rPr>
                <w:bCs/>
              </w:rPr>
            </w:pPr>
            <w:r>
              <w:rPr>
                <w:bCs/>
              </w:rPr>
              <w:t xml:space="preserve">Qualified or </w:t>
            </w:r>
            <w:r w:rsidR="00722A56">
              <w:rPr>
                <w:bCs/>
              </w:rPr>
              <w:t xml:space="preserve">working towards </w:t>
            </w:r>
            <w:r>
              <w:rPr>
                <w:bCs/>
              </w:rPr>
              <w:t xml:space="preserve">a recognised </w:t>
            </w:r>
            <w:r w:rsidR="00722A56">
              <w:rPr>
                <w:bCs/>
              </w:rPr>
              <w:t>Engineering or Contract Management professional qualification</w:t>
            </w:r>
            <w:r w:rsidR="0061013D">
              <w:rPr>
                <w:bCs/>
              </w:rPr>
              <w:t>.</w:t>
            </w:r>
          </w:p>
          <w:p w14:paraId="7E4A55ED" w14:textId="77777777" w:rsidR="00885DAE" w:rsidRDefault="00885DAE" w:rsidP="00885DAE">
            <w:pPr>
              <w:rPr>
                <w:bCs/>
              </w:rPr>
            </w:pPr>
          </w:p>
          <w:p w14:paraId="04CF641B" w14:textId="77777777" w:rsidR="00722A56" w:rsidRDefault="00722A56" w:rsidP="00722A5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Strong </w:t>
            </w:r>
            <w:r w:rsidR="00D46012">
              <w:rPr>
                <w:rFonts w:cs="Arial"/>
                <w:bCs/>
              </w:rPr>
              <w:t>commercial and financial</w:t>
            </w:r>
            <w:r>
              <w:rPr>
                <w:rFonts w:cs="Arial"/>
                <w:bCs/>
              </w:rPr>
              <w:t xml:space="preserve"> awareness</w:t>
            </w:r>
            <w:r w:rsidR="0061013D">
              <w:rPr>
                <w:rFonts w:cs="Arial"/>
                <w:bCs/>
              </w:rPr>
              <w:t>.</w:t>
            </w:r>
          </w:p>
          <w:p w14:paraId="23400ECA" w14:textId="77777777" w:rsidR="0061013D" w:rsidRDefault="0061013D" w:rsidP="00722A56">
            <w:pPr>
              <w:rPr>
                <w:rFonts w:cs="Arial"/>
                <w:bCs/>
              </w:rPr>
            </w:pPr>
          </w:p>
          <w:p w14:paraId="6B8430F3" w14:textId="77777777" w:rsidR="00722A56" w:rsidRDefault="00722A56" w:rsidP="00722A5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Knowledge </w:t>
            </w:r>
            <w:r w:rsidR="00735BA5">
              <w:rPr>
                <w:rFonts w:cs="Arial"/>
                <w:bCs/>
              </w:rPr>
              <w:t xml:space="preserve">and understanding of </w:t>
            </w:r>
            <w:r>
              <w:rPr>
                <w:rFonts w:cs="Arial"/>
                <w:bCs/>
              </w:rPr>
              <w:t>contractual framework</w:t>
            </w:r>
            <w:r w:rsidR="00735BA5">
              <w:rPr>
                <w:rFonts w:cs="Arial"/>
                <w:bCs/>
              </w:rPr>
              <w:t>s, preferably with knowledge of Railway Industry</w:t>
            </w:r>
            <w:r w:rsidR="0061013D">
              <w:rPr>
                <w:rFonts w:cs="Arial"/>
                <w:bCs/>
              </w:rPr>
              <w:t>.</w:t>
            </w:r>
          </w:p>
          <w:p w14:paraId="4956C4C0" w14:textId="77777777" w:rsidR="00722A56" w:rsidRDefault="00722A56" w:rsidP="00885DAE">
            <w:pPr>
              <w:rPr>
                <w:bCs/>
              </w:rPr>
            </w:pPr>
          </w:p>
          <w:p w14:paraId="20C6D7F0" w14:textId="304BAEB8" w:rsidR="00722A56" w:rsidRDefault="00722A56" w:rsidP="00722A5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Min. </w:t>
            </w:r>
            <w:r w:rsidR="008E4028">
              <w:rPr>
                <w:rFonts w:cs="Arial"/>
                <w:bCs/>
              </w:rPr>
              <w:t xml:space="preserve">5 </w:t>
            </w:r>
            <w:r>
              <w:rPr>
                <w:rFonts w:cs="Arial"/>
                <w:bCs/>
              </w:rPr>
              <w:t xml:space="preserve">to </w:t>
            </w:r>
            <w:r w:rsidR="008E4028">
              <w:rPr>
                <w:rFonts w:cs="Arial"/>
                <w:bCs/>
              </w:rPr>
              <w:t xml:space="preserve">7 </w:t>
            </w:r>
            <w:r>
              <w:rPr>
                <w:rFonts w:cs="Arial"/>
                <w:bCs/>
              </w:rPr>
              <w:t>years experience</w:t>
            </w:r>
            <w:r w:rsidR="00B96E5D">
              <w:rPr>
                <w:rFonts w:cs="Arial"/>
                <w:bCs/>
              </w:rPr>
              <w:t xml:space="preserve"> in an Engineering or Commercial environment</w:t>
            </w:r>
            <w:r w:rsidR="0061013D">
              <w:rPr>
                <w:rFonts w:cs="Arial"/>
                <w:bCs/>
              </w:rPr>
              <w:t>.</w:t>
            </w:r>
          </w:p>
          <w:p w14:paraId="0756D208" w14:textId="77777777" w:rsidR="00722A56" w:rsidRDefault="00722A56" w:rsidP="00885DAE">
            <w:pPr>
              <w:rPr>
                <w:bCs/>
              </w:rPr>
            </w:pPr>
          </w:p>
          <w:p w14:paraId="28C42718" w14:textId="77777777" w:rsidR="003E2D00" w:rsidRDefault="003E2D00" w:rsidP="003E2D00">
            <w:pPr>
              <w:rPr>
                <w:bCs/>
              </w:rPr>
            </w:pPr>
            <w:r>
              <w:rPr>
                <w:bCs/>
              </w:rPr>
              <w:t>Experience of rail or similar transport / franchise industry (desirable)</w:t>
            </w:r>
            <w:r w:rsidR="0061013D">
              <w:rPr>
                <w:bCs/>
              </w:rPr>
              <w:t>.</w:t>
            </w:r>
          </w:p>
          <w:p w14:paraId="081C8150" w14:textId="77777777" w:rsidR="003C6417" w:rsidRDefault="003C6417" w:rsidP="003E2D00">
            <w:pPr>
              <w:rPr>
                <w:bCs/>
              </w:rPr>
            </w:pPr>
          </w:p>
          <w:p w14:paraId="48999960" w14:textId="77777777" w:rsidR="00885DAE" w:rsidRDefault="00885DAE">
            <w:pPr>
              <w:rPr>
                <w:b/>
              </w:rPr>
            </w:pPr>
          </w:p>
        </w:tc>
      </w:tr>
      <w:tr w:rsidR="00A259D2" w14:paraId="6511CDAB" w14:textId="77777777" w:rsidTr="005A198C">
        <w:tc>
          <w:tcPr>
            <w:tcW w:w="708" w:type="dxa"/>
          </w:tcPr>
          <w:p w14:paraId="0F4EEAF4" w14:textId="77777777" w:rsidR="00A259D2" w:rsidRDefault="001F19A9" w:rsidP="00C779C3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8" w:type="dxa"/>
            <w:gridSpan w:val="15"/>
          </w:tcPr>
          <w:p w14:paraId="61984F55" w14:textId="77777777" w:rsidR="00A259D2" w:rsidRPr="00675296" w:rsidRDefault="00A259D2" w:rsidP="00BD4042">
            <w:pPr>
              <w:pStyle w:val="Heading3"/>
              <w:rPr>
                <w:b w:val="0"/>
                <w:bCs/>
              </w:rPr>
            </w:pPr>
            <w:r>
              <w:t>Skills</w:t>
            </w:r>
            <w:r w:rsidR="00675296">
              <w:t xml:space="preserve"> </w:t>
            </w:r>
            <w:r w:rsidR="00675296" w:rsidRPr="00675296">
              <w:rPr>
                <w:b w:val="0"/>
              </w:rPr>
              <w:t>(includ</w:t>
            </w:r>
            <w:r w:rsidR="00675296">
              <w:rPr>
                <w:b w:val="0"/>
              </w:rPr>
              <w:t>ing</w:t>
            </w:r>
            <w:r w:rsidR="00675296" w:rsidRPr="00675296">
              <w:rPr>
                <w:b w:val="0"/>
              </w:rPr>
              <w:t xml:space="preserve"> any </w:t>
            </w:r>
            <w:r w:rsidR="006132AF">
              <w:rPr>
                <w:b w:val="0"/>
              </w:rPr>
              <w:t xml:space="preserve">specific </w:t>
            </w:r>
            <w:r w:rsidR="00675296" w:rsidRPr="00675296">
              <w:rPr>
                <w:b w:val="0"/>
              </w:rPr>
              <w:t>safety critical competencies)</w:t>
            </w:r>
            <w:r w:rsidRPr="00675296">
              <w:rPr>
                <w:b w:val="0"/>
              </w:rPr>
              <w:t xml:space="preserve"> </w:t>
            </w:r>
          </w:p>
          <w:p w14:paraId="2B284EAA" w14:textId="77777777" w:rsidR="00A259D2" w:rsidRDefault="00A259D2" w:rsidP="00BD4042">
            <w:pPr>
              <w:rPr>
                <w:bCs/>
              </w:rPr>
            </w:pPr>
          </w:p>
          <w:p w14:paraId="445EA0FB" w14:textId="77777777" w:rsidR="006D2E05" w:rsidRPr="00752B0F" w:rsidRDefault="006D2E05" w:rsidP="006D2E05">
            <w:pPr>
              <w:jc w:val="both"/>
              <w:rPr>
                <w:bCs/>
              </w:rPr>
            </w:pPr>
            <w:r w:rsidRPr="00752B0F">
              <w:rPr>
                <w:bCs/>
              </w:rPr>
              <w:t>Negotiation &amp; influencing skills – influences, convinces or impresses others in a way that results in acceptance, agreement or behaviour change.</w:t>
            </w:r>
          </w:p>
          <w:p w14:paraId="7D52931F" w14:textId="77777777" w:rsidR="006D2E05" w:rsidRPr="00752B0F" w:rsidRDefault="006D2E05" w:rsidP="006D2E05">
            <w:pPr>
              <w:jc w:val="both"/>
              <w:rPr>
                <w:bCs/>
              </w:rPr>
            </w:pPr>
          </w:p>
          <w:p w14:paraId="63E31993" w14:textId="77777777" w:rsidR="006D2E05" w:rsidRPr="00752B0F" w:rsidRDefault="006D2E05" w:rsidP="006D2E05">
            <w:pPr>
              <w:jc w:val="both"/>
              <w:rPr>
                <w:bCs/>
              </w:rPr>
            </w:pPr>
            <w:r w:rsidRPr="00752B0F">
              <w:rPr>
                <w:bCs/>
              </w:rPr>
              <w:t xml:space="preserve">Communication – </w:t>
            </w:r>
            <w:r>
              <w:rPr>
                <w:bCs/>
              </w:rPr>
              <w:t>presents</w:t>
            </w:r>
            <w:r w:rsidRPr="00752B0F">
              <w:rPr>
                <w:bCs/>
              </w:rPr>
              <w:t xml:space="preserve"> </w:t>
            </w:r>
            <w:r>
              <w:rPr>
                <w:bCs/>
              </w:rPr>
              <w:t>information and ideas</w:t>
            </w:r>
            <w:r w:rsidRPr="00752B0F">
              <w:rPr>
                <w:bCs/>
              </w:rPr>
              <w:t xml:space="preserve"> confidently and effectively. Is friendly and engages others </w:t>
            </w:r>
            <w:r>
              <w:rPr>
                <w:bCs/>
              </w:rPr>
              <w:t xml:space="preserve">across the business </w:t>
            </w:r>
            <w:r w:rsidRPr="00752B0F">
              <w:rPr>
                <w:bCs/>
              </w:rPr>
              <w:t>in open, honest and productive conversations.</w:t>
            </w:r>
          </w:p>
          <w:p w14:paraId="1A590C6C" w14:textId="77777777" w:rsidR="006D2E05" w:rsidRPr="00752B0F" w:rsidRDefault="006D2E05" w:rsidP="006D2E05">
            <w:pPr>
              <w:jc w:val="both"/>
              <w:rPr>
                <w:bCs/>
              </w:rPr>
            </w:pPr>
          </w:p>
          <w:p w14:paraId="653E53EA" w14:textId="77777777" w:rsidR="006D2E05" w:rsidRPr="00752B0F" w:rsidRDefault="006D2E05" w:rsidP="006D2E05">
            <w:pPr>
              <w:jc w:val="both"/>
              <w:rPr>
                <w:bCs/>
              </w:rPr>
            </w:pPr>
            <w:r w:rsidRPr="00752B0F">
              <w:rPr>
                <w:bCs/>
              </w:rPr>
              <w:t xml:space="preserve">Commercial Awareness – understands and applies commercial and financial principles. </w:t>
            </w:r>
            <w:r w:rsidRPr="00A24231">
              <w:rPr>
                <w:bCs/>
              </w:rPr>
              <w:t xml:space="preserve">Exploits opportunities to improve results and </w:t>
            </w:r>
            <w:r>
              <w:rPr>
                <w:bCs/>
              </w:rPr>
              <w:t>a</w:t>
            </w:r>
            <w:r w:rsidRPr="00A24231">
              <w:rPr>
                <w:bCs/>
              </w:rPr>
              <w:t>dd value to the business</w:t>
            </w:r>
            <w:r>
              <w:rPr>
                <w:bCs/>
              </w:rPr>
              <w:t xml:space="preserve">. </w:t>
            </w:r>
          </w:p>
          <w:p w14:paraId="23261931" w14:textId="77777777" w:rsidR="006D2E05" w:rsidRPr="00752B0F" w:rsidRDefault="006D2E05" w:rsidP="006D2E05">
            <w:pPr>
              <w:jc w:val="both"/>
              <w:rPr>
                <w:bCs/>
              </w:rPr>
            </w:pPr>
          </w:p>
          <w:p w14:paraId="07A136D5" w14:textId="77777777" w:rsidR="006D2E05" w:rsidRPr="00752B0F" w:rsidRDefault="006D2E05" w:rsidP="006D2E0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2B0F">
              <w:rPr>
                <w:bCs/>
              </w:rPr>
              <w:lastRenderedPageBreak/>
              <w:t xml:space="preserve">Thinking &amp; Problem Solving </w:t>
            </w:r>
            <w:r>
              <w:rPr>
                <w:bCs/>
              </w:rPr>
              <w:t>–</w:t>
            </w:r>
            <w:r w:rsidRPr="00752B0F">
              <w:rPr>
                <w:bCs/>
              </w:rPr>
              <w:t xml:space="preserve"> analyses issues and breaks them into component parts. Makes systematic and rational judgements based on relevant information.</w:t>
            </w:r>
          </w:p>
          <w:p w14:paraId="4EC14E8A" w14:textId="77777777" w:rsidR="006D2E05" w:rsidRDefault="006D2E05" w:rsidP="006D2E05">
            <w:pPr>
              <w:jc w:val="both"/>
              <w:rPr>
                <w:bCs/>
              </w:rPr>
            </w:pPr>
          </w:p>
          <w:p w14:paraId="68EED0B5" w14:textId="77777777" w:rsidR="006D2E05" w:rsidRDefault="006D2E05" w:rsidP="006D2E05">
            <w:pPr>
              <w:rPr>
                <w:bCs/>
              </w:rPr>
            </w:pPr>
            <w:r>
              <w:rPr>
                <w:bCs/>
              </w:rPr>
              <w:t>Good attention to detail – careful and thorough review of documents and figures to ensure accuracy of written and numeric information and commercial objectives are met.</w:t>
            </w:r>
          </w:p>
          <w:p w14:paraId="2CC9A205" w14:textId="77777777" w:rsidR="006D2E05" w:rsidRDefault="006D2E05" w:rsidP="006D2E05">
            <w:pPr>
              <w:rPr>
                <w:bCs/>
              </w:rPr>
            </w:pPr>
          </w:p>
          <w:p w14:paraId="4E5973BB" w14:textId="77777777" w:rsidR="00A259D2" w:rsidRDefault="006D2E05" w:rsidP="006D2E05">
            <w:pPr>
              <w:rPr>
                <w:rFonts w:cs="Arial"/>
              </w:rPr>
            </w:pPr>
            <w:r>
              <w:rPr>
                <w:rFonts w:cs="Arial"/>
              </w:rPr>
              <w:t>Literacy &amp; Numeracy – comprehends legal and business documents, expresses complex issues clearly in writing together with the ability to analyse and process complex calculations</w:t>
            </w:r>
            <w:r w:rsidRPr="00752B0F">
              <w:rPr>
                <w:rFonts w:cs="Arial"/>
              </w:rPr>
              <w:t>.</w:t>
            </w:r>
          </w:p>
          <w:p w14:paraId="58B9A593" w14:textId="77777777" w:rsidR="006D2E05" w:rsidRDefault="006D2E05" w:rsidP="006D2E05">
            <w:pPr>
              <w:rPr>
                <w:b/>
              </w:rPr>
            </w:pPr>
          </w:p>
        </w:tc>
      </w:tr>
      <w:tr w:rsidR="00D84FEC" w14:paraId="6A6559CA" w14:textId="77777777" w:rsidTr="005A198C">
        <w:tc>
          <w:tcPr>
            <w:tcW w:w="708" w:type="dxa"/>
          </w:tcPr>
          <w:p w14:paraId="770C0E15" w14:textId="77777777"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D84FEC">
              <w:rPr>
                <w:bCs/>
                <w:sz w:val="20"/>
              </w:rPr>
              <w:t>3</w:t>
            </w:r>
          </w:p>
        </w:tc>
        <w:tc>
          <w:tcPr>
            <w:tcW w:w="9358" w:type="dxa"/>
            <w:gridSpan w:val="15"/>
          </w:tcPr>
          <w:p w14:paraId="24852A3A" w14:textId="77777777" w:rsidR="00A259D2" w:rsidRDefault="00A259D2" w:rsidP="00A259D2">
            <w:pPr>
              <w:pStyle w:val="Heading3"/>
            </w:pPr>
            <w:r>
              <w:t xml:space="preserve">Behaviours </w:t>
            </w:r>
          </w:p>
          <w:p w14:paraId="23B1AA72" w14:textId="77777777" w:rsidR="00885DAE" w:rsidRDefault="00885DAE" w:rsidP="00885DAE">
            <w:pPr>
              <w:rPr>
                <w:bCs/>
              </w:rPr>
            </w:pPr>
          </w:p>
          <w:p w14:paraId="71E493CE" w14:textId="77777777" w:rsidR="00336F5F" w:rsidRP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Professionalism – Aims to be the best they can be through their attitude &amp; respect for others, customer focussed, delivery focussed and having a “can do” approach.</w:t>
            </w:r>
          </w:p>
          <w:p w14:paraId="69072F1C" w14:textId="77777777" w:rsidR="00336F5F" w:rsidRPr="00336F5F" w:rsidRDefault="00336F5F" w:rsidP="00336F5F">
            <w:pPr>
              <w:rPr>
                <w:bCs/>
              </w:rPr>
            </w:pPr>
          </w:p>
          <w:p w14:paraId="53A726F4" w14:textId="77777777" w:rsidR="00336F5F" w:rsidRP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Honesty &amp; Integrity – Is transparent and honest taking full responsibility for actions. Demonstrates confidence and courage, dealing effectively with difficult situations.</w:t>
            </w:r>
          </w:p>
          <w:p w14:paraId="4E8E3A0D" w14:textId="77777777" w:rsidR="00336F5F" w:rsidRPr="00336F5F" w:rsidRDefault="00336F5F" w:rsidP="00336F5F">
            <w:pPr>
              <w:rPr>
                <w:bCs/>
              </w:rPr>
            </w:pPr>
          </w:p>
          <w:p w14:paraId="4155F5A4" w14:textId="77777777" w:rsidR="00336F5F" w:rsidRP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Team work, Sharing and Supportive – Aligns with others to deliver common goals.  Shares ideas and information in a collaborative manner.  Supports colleagues and works effectively and effectively with others.</w:t>
            </w:r>
          </w:p>
          <w:p w14:paraId="19BD6428" w14:textId="77777777" w:rsidR="00336F5F" w:rsidRPr="00336F5F" w:rsidRDefault="00336F5F" w:rsidP="00336F5F">
            <w:pPr>
              <w:rPr>
                <w:bCs/>
              </w:rPr>
            </w:pPr>
          </w:p>
          <w:p w14:paraId="11B80244" w14:textId="77777777" w:rsidR="00336F5F" w:rsidRP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Adding Value – Demonstrates readiness to make decisions, take initiatives and drive action, contributing to a culture of continuous business improvement.</w:t>
            </w:r>
          </w:p>
          <w:p w14:paraId="5B3B92DD" w14:textId="77777777" w:rsidR="00336F5F" w:rsidRPr="00336F5F" w:rsidRDefault="00336F5F" w:rsidP="00336F5F">
            <w:pPr>
              <w:rPr>
                <w:bCs/>
              </w:rPr>
            </w:pPr>
          </w:p>
          <w:p w14:paraId="177E0FEA" w14:textId="77777777" w:rsidR="00336F5F" w:rsidRP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Empathetic – Is empathetic to the needs of colleagues, earning their trust and respect.</w:t>
            </w:r>
          </w:p>
          <w:p w14:paraId="5A353F80" w14:textId="77777777" w:rsidR="00336F5F" w:rsidRPr="00336F5F" w:rsidRDefault="00336F5F" w:rsidP="00336F5F">
            <w:pPr>
              <w:rPr>
                <w:bCs/>
              </w:rPr>
            </w:pPr>
          </w:p>
          <w:p w14:paraId="47D1F3E1" w14:textId="77777777" w:rsidR="00336F5F" w:rsidRP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Taking a Broader view -  Champions change and considers the long-term impact of decisions across the business.</w:t>
            </w:r>
          </w:p>
          <w:p w14:paraId="5C85EB88" w14:textId="77777777" w:rsidR="00336F5F" w:rsidRPr="00336F5F" w:rsidRDefault="00336F5F" w:rsidP="00336F5F">
            <w:pPr>
              <w:rPr>
                <w:bCs/>
              </w:rPr>
            </w:pPr>
          </w:p>
          <w:p w14:paraId="18A9B6B9" w14:textId="77777777" w:rsidR="00336F5F" w:rsidRDefault="00336F5F" w:rsidP="00336F5F">
            <w:pPr>
              <w:rPr>
                <w:bCs/>
              </w:rPr>
            </w:pPr>
            <w:r w:rsidRPr="00336F5F">
              <w:rPr>
                <w:bCs/>
              </w:rPr>
              <w:t>Flexibility – successfully adapts to changing demands, conditions and scenarios, and enacts decisions reached even if not their own.</w:t>
            </w:r>
          </w:p>
          <w:p w14:paraId="41D3836A" w14:textId="77777777" w:rsidR="00336F5F" w:rsidRDefault="00336F5F" w:rsidP="00336F5F">
            <w:pPr>
              <w:rPr>
                <w:b/>
              </w:rPr>
            </w:pPr>
          </w:p>
        </w:tc>
      </w:tr>
      <w:tr w:rsidR="00D84FEC" w14:paraId="6B3E8317" w14:textId="77777777" w:rsidTr="005A198C">
        <w:trPr>
          <w:trHeight w:val="710"/>
        </w:trPr>
        <w:tc>
          <w:tcPr>
            <w:tcW w:w="708" w:type="dxa"/>
            <w:tcBorders>
              <w:bottom w:val="single" w:sz="4" w:space="0" w:color="auto"/>
            </w:tcBorders>
          </w:tcPr>
          <w:p w14:paraId="4D3283E2" w14:textId="77777777"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84FEC">
              <w:rPr>
                <w:bCs/>
                <w:sz w:val="20"/>
              </w:rPr>
              <w:t>4</w:t>
            </w:r>
          </w:p>
        </w:tc>
        <w:tc>
          <w:tcPr>
            <w:tcW w:w="9358" w:type="dxa"/>
            <w:gridSpan w:val="15"/>
            <w:tcBorders>
              <w:bottom w:val="single" w:sz="4" w:space="0" w:color="auto"/>
            </w:tcBorders>
          </w:tcPr>
          <w:p w14:paraId="25FA455A" w14:textId="77777777" w:rsidR="00D84FEC" w:rsidRDefault="00A259D2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0D4355C8" w14:textId="77777777" w:rsidR="00D84FEC" w:rsidRDefault="00D84FEC">
            <w:pPr>
              <w:rPr>
                <w:b/>
              </w:rPr>
            </w:pPr>
          </w:p>
        </w:tc>
      </w:tr>
      <w:tr w:rsidR="00626E01" w14:paraId="463D7A29" w14:textId="77777777" w:rsidTr="005A198C">
        <w:tc>
          <w:tcPr>
            <w:tcW w:w="708" w:type="dxa"/>
          </w:tcPr>
          <w:p w14:paraId="5837F45A" w14:textId="77777777" w:rsidR="00626E01" w:rsidRDefault="005A198C" w:rsidP="00786F40">
            <w:pPr>
              <w:pStyle w:val="Heading3"/>
            </w:pPr>
            <w:r>
              <w:t>H</w:t>
            </w:r>
          </w:p>
        </w:tc>
        <w:tc>
          <w:tcPr>
            <w:tcW w:w="9358" w:type="dxa"/>
            <w:gridSpan w:val="15"/>
          </w:tcPr>
          <w:p w14:paraId="75A60938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7DBC9217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7BAE689A" w14:textId="77777777" w:rsidTr="005A198C">
        <w:tc>
          <w:tcPr>
            <w:tcW w:w="708" w:type="dxa"/>
          </w:tcPr>
          <w:p w14:paraId="3F844FD6" w14:textId="77777777" w:rsidR="00626E01" w:rsidRDefault="005A198C" w:rsidP="00786F40">
            <w:r>
              <w:t>H</w:t>
            </w:r>
            <w:r w:rsidR="00626E01">
              <w:t>1</w:t>
            </w:r>
          </w:p>
          <w:p w14:paraId="51F78F85" w14:textId="77777777" w:rsidR="00626E01" w:rsidRDefault="00626E01" w:rsidP="00786F40"/>
        </w:tc>
        <w:tc>
          <w:tcPr>
            <w:tcW w:w="3544" w:type="dxa"/>
            <w:gridSpan w:val="3"/>
          </w:tcPr>
          <w:p w14:paraId="2149C5C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814" w:type="dxa"/>
            <w:gridSpan w:val="12"/>
          </w:tcPr>
          <w:p w14:paraId="2635ECD7" w14:textId="77777777" w:rsidR="005A198C" w:rsidRPr="00644BA1" w:rsidRDefault="005A198C" w:rsidP="005A198C">
            <w:r w:rsidRPr="00644BA1">
              <w:t>c. £</w:t>
            </w:r>
            <w:r>
              <w:t xml:space="preserve"> </w:t>
            </w:r>
            <w:r w:rsidRPr="00644BA1">
              <w:t>180m pa Rolling Stock leasing charges</w:t>
            </w:r>
          </w:p>
          <w:p w14:paraId="7DCBC3C0" w14:textId="77777777" w:rsidR="005A198C" w:rsidRPr="00644BA1" w:rsidRDefault="005A198C" w:rsidP="005A198C"/>
          <w:p w14:paraId="0D21A02D" w14:textId="77777777" w:rsidR="005A198C" w:rsidRPr="00644BA1" w:rsidRDefault="005A198C" w:rsidP="005A198C">
            <w:r w:rsidRPr="00644BA1">
              <w:t>c. £</w:t>
            </w:r>
            <w:r>
              <w:t xml:space="preserve"> </w:t>
            </w:r>
            <w:r w:rsidRPr="00644BA1">
              <w:t>50m pa Rolling Stock maintenance contracts</w:t>
            </w:r>
          </w:p>
          <w:p w14:paraId="5E0AA8E6" w14:textId="77777777" w:rsidR="005A198C" w:rsidRPr="00644BA1" w:rsidRDefault="005A198C" w:rsidP="005A198C"/>
          <w:p w14:paraId="59FE757E" w14:textId="77777777" w:rsidR="005A198C" w:rsidRDefault="005A198C" w:rsidP="005A198C">
            <w:r w:rsidRPr="00644BA1">
              <w:t>c. £</w:t>
            </w:r>
            <w:r>
              <w:t xml:space="preserve"> </w:t>
            </w:r>
            <w:r w:rsidRPr="00644BA1">
              <w:t>10m pa Rolling Stock modification contracts (varies from year to year)</w:t>
            </w:r>
          </w:p>
          <w:p w14:paraId="11EE38DF" w14:textId="77777777" w:rsidR="005A198C" w:rsidRDefault="005A198C" w:rsidP="005A198C"/>
          <w:p w14:paraId="7B086B2C" w14:textId="77777777" w:rsidR="00626E01" w:rsidRDefault="005A198C" w:rsidP="005A198C">
            <w:r>
              <w:rPr>
                <w:rFonts w:cs="Arial"/>
              </w:rPr>
              <w:t>c. £ 1m pa Engineering Sales derived from maintenance and modification activities carried out for 3</w:t>
            </w:r>
            <w:r w:rsidRPr="0018389C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parties such as ROSCOs </w:t>
            </w:r>
            <w:r w:rsidRPr="00644BA1">
              <w:t>(varies from year to year)</w:t>
            </w:r>
          </w:p>
          <w:p w14:paraId="0D045E9D" w14:textId="77777777" w:rsidR="005A198C" w:rsidRPr="00D46012" w:rsidRDefault="005A198C" w:rsidP="005A198C">
            <w:pPr>
              <w:rPr>
                <w:highlight w:val="yellow"/>
              </w:rPr>
            </w:pPr>
          </w:p>
        </w:tc>
      </w:tr>
      <w:tr w:rsidR="00626E01" w14:paraId="73A2F4A8" w14:textId="77777777" w:rsidTr="005A198C">
        <w:tc>
          <w:tcPr>
            <w:tcW w:w="708" w:type="dxa"/>
          </w:tcPr>
          <w:p w14:paraId="6CEFC54B" w14:textId="77777777" w:rsidR="00626E01" w:rsidRDefault="005A198C" w:rsidP="00786F40">
            <w:r>
              <w:t>H</w:t>
            </w:r>
            <w:r w:rsidR="00626E01">
              <w:t>2</w:t>
            </w:r>
          </w:p>
          <w:p w14:paraId="4570B712" w14:textId="77777777" w:rsidR="00626E01" w:rsidRDefault="00626E01" w:rsidP="00786F40"/>
        </w:tc>
        <w:tc>
          <w:tcPr>
            <w:tcW w:w="3544" w:type="dxa"/>
            <w:gridSpan w:val="3"/>
          </w:tcPr>
          <w:p w14:paraId="102C0BE1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814" w:type="dxa"/>
            <w:gridSpan w:val="12"/>
          </w:tcPr>
          <w:p w14:paraId="04D05E28" w14:textId="77777777" w:rsidR="005A198C" w:rsidRDefault="005A198C" w:rsidP="005A198C">
            <w:r>
              <w:t>c. £0.3m pa external legal advice relating to Rolling Stock</w:t>
            </w:r>
          </w:p>
          <w:p w14:paraId="48B8C679" w14:textId="77777777" w:rsidR="00E8657E" w:rsidRPr="00D46012" w:rsidRDefault="00E8657E" w:rsidP="00E8657E">
            <w:pPr>
              <w:rPr>
                <w:highlight w:val="yellow"/>
              </w:rPr>
            </w:pPr>
          </w:p>
        </w:tc>
      </w:tr>
      <w:tr w:rsidR="00626E01" w14:paraId="48C06C80" w14:textId="77777777" w:rsidTr="005A198C">
        <w:tc>
          <w:tcPr>
            <w:tcW w:w="708" w:type="dxa"/>
          </w:tcPr>
          <w:p w14:paraId="4D90D607" w14:textId="77777777" w:rsidR="00626E01" w:rsidRDefault="005A198C" w:rsidP="00786F40">
            <w:r>
              <w:t>H</w:t>
            </w:r>
            <w:r w:rsidR="00626E01">
              <w:t>3</w:t>
            </w:r>
          </w:p>
          <w:p w14:paraId="486FB444" w14:textId="77777777" w:rsidR="00626E01" w:rsidRDefault="00626E01" w:rsidP="00786F40"/>
        </w:tc>
        <w:tc>
          <w:tcPr>
            <w:tcW w:w="3544" w:type="dxa"/>
            <w:gridSpan w:val="3"/>
          </w:tcPr>
          <w:p w14:paraId="006379D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814" w:type="dxa"/>
            <w:gridSpan w:val="12"/>
          </w:tcPr>
          <w:p w14:paraId="0346A8A5" w14:textId="627A98DE" w:rsidR="00626E01" w:rsidRDefault="008E43A6" w:rsidP="00786F40">
            <w:r>
              <w:rPr>
                <w:rFonts w:cs="Arial"/>
              </w:rPr>
              <w:t xml:space="preserve">1 x </w:t>
            </w:r>
            <w:r w:rsidR="00D556B2">
              <w:rPr>
                <w:rFonts w:cs="Arial"/>
              </w:rPr>
              <w:t xml:space="preserve">Rolling Stock </w:t>
            </w:r>
            <w:r>
              <w:rPr>
                <w:rFonts w:cs="Arial"/>
              </w:rPr>
              <w:t>Contracts Manager</w:t>
            </w:r>
          </w:p>
        </w:tc>
      </w:tr>
      <w:tr w:rsidR="00626E01" w14:paraId="1ECABFBA" w14:textId="77777777" w:rsidTr="005A198C">
        <w:tc>
          <w:tcPr>
            <w:tcW w:w="708" w:type="dxa"/>
          </w:tcPr>
          <w:p w14:paraId="190F594F" w14:textId="77777777" w:rsidR="00626E01" w:rsidRDefault="005A198C" w:rsidP="00786F40">
            <w:r>
              <w:lastRenderedPageBreak/>
              <w:t>H</w:t>
            </w:r>
            <w:r w:rsidR="00626E01">
              <w:t>4</w:t>
            </w:r>
          </w:p>
        </w:tc>
        <w:tc>
          <w:tcPr>
            <w:tcW w:w="3544" w:type="dxa"/>
            <w:gridSpan w:val="3"/>
          </w:tcPr>
          <w:p w14:paraId="7CE1F80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03F5E816" w14:textId="77777777" w:rsidR="00626E01" w:rsidRDefault="00626E01" w:rsidP="00786F40"/>
        </w:tc>
        <w:tc>
          <w:tcPr>
            <w:tcW w:w="5814" w:type="dxa"/>
            <w:gridSpan w:val="12"/>
          </w:tcPr>
          <w:p w14:paraId="0BD5540F" w14:textId="77777777" w:rsidR="00626E01" w:rsidRDefault="00EE443C" w:rsidP="00786F40">
            <w:pPr>
              <w:rPr>
                <w:rFonts w:cs="Arial"/>
              </w:rPr>
            </w:pPr>
            <w:r>
              <w:t>Support and advice to various posts in Engineering, including Contract Managers, Technical Managers and Project Managers.  Close liaison role with Finance Business Partners</w:t>
            </w:r>
          </w:p>
          <w:p w14:paraId="1206828B" w14:textId="77777777" w:rsidR="00EE443C" w:rsidRDefault="00EE443C" w:rsidP="00786F40"/>
        </w:tc>
      </w:tr>
      <w:tr w:rsidR="00626E01" w14:paraId="05D0E654" w14:textId="77777777" w:rsidTr="005A198C">
        <w:tc>
          <w:tcPr>
            <w:tcW w:w="708" w:type="dxa"/>
            <w:tcBorders>
              <w:bottom w:val="single" w:sz="4" w:space="0" w:color="auto"/>
            </w:tcBorders>
          </w:tcPr>
          <w:p w14:paraId="632A0302" w14:textId="77777777" w:rsidR="00626E01" w:rsidRDefault="005A198C" w:rsidP="00786F40">
            <w:r>
              <w:t>H</w:t>
            </w:r>
            <w:r w:rsidR="00626E01">
              <w:t>5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DC245A8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00F72762" w14:textId="77777777" w:rsidR="00626E01" w:rsidRDefault="00626E01" w:rsidP="00786F40"/>
          <w:p w14:paraId="24AE9CEA" w14:textId="77777777" w:rsidR="005A198C" w:rsidRDefault="005A198C" w:rsidP="00786F40"/>
          <w:p w14:paraId="59C68D55" w14:textId="77777777" w:rsidR="00626E01" w:rsidRDefault="00626E01" w:rsidP="00786F40"/>
        </w:tc>
        <w:tc>
          <w:tcPr>
            <w:tcW w:w="5814" w:type="dxa"/>
            <w:gridSpan w:val="12"/>
            <w:tcBorders>
              <w:bottom w:val="single" w:sz="4" w:space="0" w:color="auto"/>
            </w:tcBorders>
          </w:tcPr>
          <w:p w14:paraId="3128D06E" w14:textId="77777777" w:rsidR="00626E01" w:rsidRDefault="00E8657E" w:rsidP="00D46012">
            <w:r>
              <w:rPr>
                <w:rFonts w:cs="Arial"/>
              </w:rPr>
              <w:t xml:space="preserve">Southeastern </w:t>
            </w:r>
            <w:r w:rsidR="006F7985">
              <w:rPr>
                <w:rFonts w:cs="Arial"/>
              </w:rPr>
              <w:t xml:space="preserve">currently </w:t>
            </w:r>
            <w:r w:rsidR="00EE443C">
              <w:rPr>
                <w:rFonts w:cs="Arial"/>
              </w:rPr>
              <w:t>leases over 1,5</w:t>
            </w:r>
            <w:r>
              <w:rPr>
                <w:rFonts w:cs="Arial"/>
              </w:rPr>
              <w:t>00 Rolling Stock Vehicles from three ROSCOs and procures light and heavy maintenance from two major industry suppliers.</w:t>
            </w:r>
          </w:p>
        </w:tc>
      </w:tr>
      <w:tr w:rsidR="00D84FEC" w14:paraId="72DB49A4" w14:textId="77777777" w:rsidTr="005A198C">
        <w:tc>
          <w:tcPr>
            <w:tcW w:w="708" w:type="dxa"/>
            <w:tcBorders>
              <w:top w:val="single" w:sz="4" w:space="0" w:color="auto"/>
            </w:tcBorders>
          </w:tcPr>
          <w:p w14:paraId="3A20DA3D" w14:textId="77777777" w:rsidR="00D84FEC" w:rsidRDefault="005A198C">
            <w:pPr>
              <w:pStyle w:val="Heading3"/>
            </w:pPr>
            <w:r>
              <w:t>I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</w:tcBorders>
          </w:tcPr>
          <w:p w14:paraId="1961391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41D71206" w14:textId="77777777" w:rsidR="00D84FEC" w:rsidRDefault="00D84FEC">
            <w:pPr>
              <w:rPr>
                <w:b/>
              </w:rPr>
            </w:pPr>
          </w:p>
        </w:tc>
      </w:tr>
      <w:tr w:rsidR="00D84FEC" w14:paraId="125CAD1C" w14:textId="77777777" w:rsidTr="005A198C">
        <w:tc>
          <w:tcPr>
            <w:tcW w:w="708" w:type="dxa"/>
          </w:tcPr>
          <w:p w14:paraId="61A51422" w14:textId="77777777" w:rsidR="00D84FEC" w:rsidRDefault="005A198C">
            <w:r>
              <w:t>I</w:t>
            </w:r>
            <w:r w:rsidR="00D84FEC">
              <w:t>1</w:t>
            </w:r>
          </w:p>
        </w:tc>
        <w:tc>
          <w:tcPr>
            <w:tcW w:w="3261" w:type="dxa"/>
            <w:gridSpan w:val="2"/>
          </w:tcPr>
          <w:p w14:paraId="15024A6D" w14:textId="77777777" w:rsidR="00D84FEC" w:rsidRDefault="00D84FEC">
            <w:r>
              <w:t>Prepared By:</w:t>
            </w:r>
          </w:p>
          <w:p w14:paraId="13EDE48F" w14:textId="77777777" w:rsidR="00D84FEC" w:rsidRDefault="00D84FEC"/>
        </w:tc>
        <w:tc>
          <w:tcPr>
            <w:tcW w:w="2126" w:type="dxa"/>
            <w:gridSpan w:val="5"/>
          </w:tcPr>
          <w:p w14:paraId="2865F4D4" w14:textId="4D7D15B9" w:rsidR="00D84FEC" w:rsidRDefault="0073347E" w:rsidP="002822E1">
            <w:r>
              <w:t>Dev Sumboo</w:t>
            </w:r>
          </w:p>
        </w:tc>
        <w:tc>
          <w:tcPr>
            <w:tcW w:w="851" w:type="dxa"/>
          </w:tcPr>
          <w:p w14:paraId="6A6E294D" w14:textId="77777777" w:rsidR="00D84FEC" w:rsidRDefault="00D84FEC">
            <w:r>
              <w:t>Date:</w:t>
            </w:r>
          </w:p>
        </w:tc>
        <w:tc>
          <w:tcPr>
            <w:tcW w:w="3120" w:type="dxa"/>
            <w:gridSpan w:val="7"/>
          </w:tcPr>
          <w:p w14:paraId="1F336955" w14:textId="0FC24B9A" w:rsidR="00D84FEC" w:rsidRDefault="008E477C" w:rsidP="00FA4ABA">
            <w:r>
              <w:t>Ju</w:t>
            </w:r>
            <w:r w:rsidR="000D7CA4">
              <w:t>ly</w:t>
            </w:r>
            <w:r>
              <w:t xml:space="preserve"> 2025</w:t>
            </w:r>
          </w:p>
        </w:tc>
      </w:tr>
      <w:tr w:rsidR="00D84FEC" w:rsidRPr="005A198C" w14:paraId="35307F2C" w14:textId="77777777" w:rsidTr="005A198C">
        <w:tc>
          <w:tcPr>
            <w:tcW w:w="708" w:type="dxa"/>
            <w:tcBorders>
              <w:bottom w:val="single" w:sz="4" w:space="0" w:color="auto"/>
            </w:tcBorders>
          </w:tcPr>
          <w:p w14:paraId="0869CCBD" w14:textId="77777777" w:rsidR="00D84FEC" w:rsidRPr="005A198C" w:rsidRDefault="005A198C" w:rsidP="005A198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5A198C">
              <w:rPr>
                <w:rFonts w:ascii="Arial" w:hAnsi="Arial" w:cs="Arial"/>
                <w:szCs w:val="22"/>
              </w:rPr>
              <w:t>I</w:t>
            </w:r>
            <w:r w:rsidR="00D84FEC" w:rsidRPr="005A198C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5DE01FA9" w14:textId="77777777" w:rsidR="00D84FEC" w:rsidRPr="005A198C" w:rsidRDefault="00F049B7" w:rsidP="005A198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5A198C">
              <w:rPr>
                <w:rFonts w:ascii="Arial" w:hAnsi="Arial" w:cs="Arial"/>
                <w:szCs w:val="22"/>
              </w:rPr>
              <w:t>Approved By (</w:t>
            </w:r>
            <w:r w:rsidR="00D84FEC" w:rsidRPr="005A198C">
              <w:rPr>
                <w:rFonts w:ascii="Arial" w:hAnsi="Arial" w:cs="Arial"/>
                <w:szCs w:val="22"/>
              </w:rPr>
              <w:t>Head of Department</w:t>
            </w:r>
            <w:r w:rsidRPr="005A198C">
              <w:rPr>
                <w:rFonts w:ascii="Arial" w:hAnsi="Arial" w:cs="Arial"/>
                <w:szCs w:val="22"/>
              </w:rPr>
              <w:t>)</w:t>
            </w:r>
            <w:r w:rsidR="00D84FEC" w:rsidRPr="005A198C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7A2B8EA7" w14:textId="2BDB1675" w:rsidR="00D84FEC" w:rsidRPr="005A198C" w:rsidRDefault="008E43A6" w:rsidP="005A198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Mark Johnson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0C8AF6" w14:textId="77777777" w:rsidR="00D84FEC" w:rsidRPr="005A198C" w:rsidRDefault="00D84FEC" w:rsidP="005A198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5A198C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3120" w:type="dxa"/>
            <w:gridSpan w:val="7"/>
            <w:tcBorders>
              <w:bottom w:val="single" w:sz="4" w:space="0" w:color="auto"/>
            </w:tcBorders>
          </w:tcPr>
          <w:p w14:paraId="203BE798" w14:textId="0DFAD847" w:rsidR="00D84FEC" w:rsidRPr="005A198C" w:rsidRDefault="008E477C" w:rsidP="005A198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</w:t>
            </w:r>
            <w:r w:rsidR="000D7CA4">
              <w:rPr>
                <w:rFonts w:ascii="Arial" w:hAnsi="Arial" w:cs="Arial"/>
                <w:szCs w:val="22"/>
              </w:rPr>
              <w:t>ly</w:t>
            </w:r>
            <w:r>
              <w:rPr>
                <w:rFonts w:ascii="Arial" w:hAnsi="Arial" w:cs="Arial"/>
                <w:szCs w:val="22"/>
              </w:rPr>
              <w:t xml:space="preserve"> 2025</w:t>
            </w:r>
          </w:p>
        </w:tc>
      </w:tr>
      <w:tr w:rsidR="00F049B7" w:rsidRPr="00046324" w14:paraId="3AA2CD05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835E" w14:textId="77777777" w:rsidR="00F049B7" w:rsidRPr="00046324" w:rsidRDefault="00626E01" w:rsidP="00C779C3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5A198C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727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5536CB25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FC7B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5AEF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7A32EA9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C1CD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1CA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33E3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2D1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5BB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5FB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646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AF56D56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1FD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A8391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272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382F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3413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91F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26F5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D3F7306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06046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62A23B7" w14:textId="77777777" w:rsidR="00834DE6" w:rsidRPr="00046324" w:rsidRDefault="005A198C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8E57E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F78ED9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07868812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C9DBA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9573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9915569" w14:textId="596E60DE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 and is briefed on this Job Description.  If there are more nominated deputies, they should sign further copies of this Job Description.</w:t>
            </w:r>
          </w:p>
        </w:tc>
      </w:tr>
      <w:tr w:rsidR="00834DE6" w:rsidRPr="00046324" w14:paraId="43BAA690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D5B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53CD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A6DDCC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7F461D9B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2F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8A1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B68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8E2D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2A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919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661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D80EE2E" w14:textId="77777777" w:rsidTr="005A1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AB0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422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B77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6882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347B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4279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028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63E3347" w14:textId="77777777" w:rsidR="00D84FEC" w:rsidRDefault="00D84FEC" w:rsidP="00834DE6"/>
    <w:sectPr w:rsidR="00D84FEC" w:rsidSect="00C779C3">
      <w:headerReference w:type="even" r:id="rId9"/>
      <w:headerReference w:type="default" r:id="rId10"/>
      <w:footerReference w:type="default" r:id="rId11"/>
      <w:pgSz w:w="11906" w:h="16838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F9B7" w14:textId="77777777" w:rsidR="00843298" w:rsidRDefault="00843298">
      <w:r>
        <w:separator/>
      </w:r>
    </w:p>
  </w:endnote>
  <w:endnote w:type="continuationSeparator" w:id="0">
    <w:p w14:paraId="78C5658F" w14:textId="77777777" w:rsidR="00843298" w:rsidRDefault="0084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Malgun Gothic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3182" w14:textId="6B47C719" w:rsidR="00C779C3" w:rsidRPr="00C779C3" w:rsidRDefault="00C779C3">
    <w:pPr>
      <w:pStyle w:val="Footer"/>
      <w:rPr>
        <w:sz w:val="16"/>
        <w:szCs w:val="16"/>
      </w:rPr>
    </w:pPr>
    <w:r w:rsidRPr="00C779C3">
      <w:rPr>
        <w:sz w:val="16"/>
        <w:szCs w:val="16"/>
      </w:rPr>
      <w:t xml:space="preserve">Issue </w:t>
    </w:r>
    <w:r w:rsidR="008E477C">
      <w:rPr>
        <w:sz w:val="16"/>
        <w:szCs w:val="16"/>
      </w:rPr>
      <w:t>1</w:t>
    </w:r>
    <w:r w:rsidRPr="00C779C3">
      <w:rPr>
        <w:sz w:val="16"/>
        <w:szCs w:val="16"/>
      </w:rPr>
      <w:tab/>
    </w:r>
    <w:r w:rsidRPr="00C779C3">
      <w:rPr>
        <w:sz w:val="16"/>
        <w:szCs w:val="16"/>
      </w:rPr>
      <w:fldChar w:fldCharType="begin"/>
    </w:r>
    <w:r w:rsidRPr="00C779C3">
      <w:rPr>
        <w:sz w:val="16"/>
        <w:szCs w:val="16"/>
      </w:rPr>
      <w:instrText xml:space="preserve"> PAGE   \* MERGEFORMAT </w:instrText>
    </w:r>
    <w:r w:rsidRPr="00C779C3">
      <w:rPr>
        <w:sz w:val="16"/>
        <w:szCs w:val="16"/>
      </w:rPr>
      <w:fldChar w:fldCharType="separate"/>
    </w:r>
    <w:r w:rsidR="005A198C">
      <w:rPr>
        <w:noProof/>
        <w:sz w:val="16"/>
        <w:szCs w:val="16"/>
      </w:rPr>
      <w:t>6</w:t>
    </w:r>
    <w:r w:rsidRPr="00C779C3">
      <w:rPr>
        <w:sz w:val="16"/>
        <w:szCs w:val="16"/>
      </w:rPr>
      <w:fldChar w:fldCharType="end"/>
    </w:r>
    <w:r w:rsidRPr="00C779C3">
      <w:rPr>
        <w:sz w:val="16"/>
        <w:szCs w:val="16"/>
      </w:rPr>
      <w:t xml:space="preserve"> of </w:t>
    </w:r>
    <w:fldSimple w:instr=" NUMPAGES   \* MERGEFORMAT ">
      <w:r w:rsidR="005A198C" w:rsidRPr="005A198C">
        <w:rPr>
          <w:noProof/>
          <w:sz w:val="16"/>
          <w:szCs w:val="16"/>
        </w:rPr>
        <w:t>6</w:t>
      </w:r>
    </w:fldSimple>
  </w:p>
  <w:p w14:paraId="17610A3E" w14:textId="23725D6B" w:rsidR="00C779C3" w:rsidRPr="00C779C3" w:rsidRDefault="008E477C">
    <w:pPr>
      <w:pStyle w:val="Footer"/>
      <w:rPr>
        <w:sz w:val="16"/>
        <w:szCs w:val="16"/>
      </w:rPr>
    </w:pPr>
    <w:r>
      <w:rPr>
        <w:sz w:val="16"/>
        <w:szCs w:val="16"/>
      </w:rPr>
      <w:t>Ju</w:t>
    </w:r>
    <w:r w:rsidR="00C7109E">
      <w:rPr>
        <w:sz w:val="16"/>
        <w:szCs w:val="16"/>
      </w:rPr>
      <w:t>ly</w:t>
    </w:r>
    <w:r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1BC0" w14:textId="77777777" w:rsidR="00843298" w:rsidRDefault="00843298">
      <w:r>
        <w:separator/>
      </w:r>
    </w:p>
  </w:footnote>
  <w:footnote w:type="continuationSeparator" w:id="0">
    <w:p w14:paraId="7DC0D334" w14:textId="77777777" w:rsidR="00843298" w:rsidRDefault="0084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A89D" w14:textId="77777777" w:rsidR="00722A56" w:rsidRDefault="002315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2A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06952" w14:textId="77777777" w:rsidR="00722A56" w:rsidRDefault="00722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018" w14:textId="77777777" w:rsidR="00722A56" w:rsidRDefault="007C55C2">
    <w:pPr>
      <w:pStyle w:val="Header"/>
    </w:pPr>
    <w:r w:rsidRPr="007C55C2">
      <w:rPr>
        <w:noProof/>
        <w:lang w:eastAsia="en-GB"/>
      </w:rPr>
      <w:drawing>
        <wp:inline distT="0" distB="0" distL="0" distR="0" wp14:anchorId="74E78D73" wp14:editId="722A79BC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182932" w14:textId="77777777" w:rsidR="00722A56" w:rsidRDefault="00722A56">
    <w:pPr>
      <w:pStyle w:val="Header"/>
    </w:pPr>
  </w:p>
  <w:p w14:paraId="16F119CA" w14:textId="77777777" w:rsidR="00722A56" w:rsidRDefault="00722A56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3A771DD2" w14:textId="77777777" w:rsidR="00722A56" w:rsidRDefault="00722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836093">
    <w:abstractNumId w:val="2"/>
  </w:num>
  <w:num w:numId="2" w16cid:durableId="777720507">
    <w:abstractNumId w:val="4"/>
  </w:num>
  <w:num w:numId="3" w16cid:durableId="75713996">
    <w:abstractNumId w:val="3"/>
  </w:num>
  <w:num w:numId="4" w16cid:durableId="2061324171">
    <w:abstractNumId w:val="1"/>
  </w:num>
  <w:num w:numId="5" w16cid:durableId="1989507367">
    <w:abstractNumId w:val="7"/>
  </w:num>
  <w:num w:numId="6" w16cid:durableId="2108651181">
    <w:abstractNumId w:val="9"/>
  </w:num>
  <w:num w:numId="7" w16cid:durableId="2135324830">
    <w:abstractNumId w:val="0"/>
  </w:num>
  <w:num w:numId="8" w16cid:durableId="1521705043">
    <w:abstractNumId w:val="5"/>
  </w:num>
  <w:num w:numId="9" w16cid:durableId="1108550438">
    <w:abstractNumId w:val="6"/>
  </w:num>
  <w:num w:numId="10" w16cid:durableId="1909457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6306"/>
    <w:rsid w:val="00035F3F"/>
    <w:rsid w:val="00055767"/>
    <w:rsid w:val="000664BA"/>
    <w:rsid w:val="00077C83"/>
    <w:rsid w:val="000923FC"/>
    <w:rsid w:val="00096DFD"/>
    <w:rsid w:val="000A1190"/>
    <w:rsid w:val="000A4DBE"/>
    <w:rsid w:val="000D7CA4"/>
    <w:rsid w:val="001317B8"/>
    <w:rsid w:val="001929E6"/>
    <w:rsid w:val="00195AC0"/>
    <w:rsid w:val="001E289B"/>
    <w:rsid w:val="001F19A9"/>
    <w:rsid w:val="00202A79"/>
    <w:rsid w:val="002155E6"/>
    <w:rsid w:val="00221966"/>
    <w:rsid w:val="00224449"/>
    <w:rsid w:val="00231020"/>
    <w:rsid w:val="002315FD"/>
    <w:rsid w:val="00235A47"/>
    <w:rsid w:val="00250AB1"/>
    <w:rsid w:val="00251073"/>
    <w:rsid w:val="00276134"/>
    <w:rsid w:val="002822E1"/>
    <w:rsid w:val="002D6581"/>
    <w:rsid w:val="00300B08"/>
    <w:rsid w:val="00321477"/>
    <w:rsid w:val="00332F79"/>
    <w:rsid w:val="00336F5F"/>
    <w:rsid w:val="00344658"/>
    <w:rsid w:val="0036032B"/>
    <w:rsid w:val="00371897"/>
    <w:rsid w:val="00373A9A"/>
    <w:rsid w:val="003B056C"/>
    <w:rsid w:val="003C6417"/>
    <w:rsid w:val="003E2D00"/>
    <w:rsid w:val="003E3111"/>
    <w:rsid w:val="004006DA"/>
    <w:rsid w:val="00404993"/>
    <w:rsid w:val="00413271"/>
    <w:rsid w:val="00413335"/>
    <w:rsid w:val="004163D2"/>
    <w:rsid w:val="00440313"/>
    <w:rsid w:val="004430D1"/>
    <w:rsid w:val="004437FB"/>
    <w:rsid w:val="00446217"/>
    <w:rsid w:val="004540EB"/>
    <w:rsid w:val="00480648"/>
    <w:rsid w:val="004A06EB"/>
    <w:rsid w:val="004A1AE1"/>
    <w:rsid w:val="004C4817"/>
    <w:rsid w:val="00542167"/>
    <w:rsid w:val="00543D7F"/>
    <w:rsid w:val="005576E8"/>
    <w:rsid w:val="00566857"/>
    <w:rsid w:val="005903EA"/>
    <w:rsid w:val="005A198C"/>
    <w:rsid w:val="005D57B8"/>
    <w:rsid w:val="005F2A19"/>
    <w:rsid w:val="0061013D"/>
    <w:rsid w:val="006132AF"/>
    <w:rsid w:val="00626E01"/>
    <w:rsid w:val="00645998"/>
    <w:rsid w:val="00653CA4"/>
    <w:rsid w:val="00675296"/>
    <w:rsid w:val="00691576"/>
    <w:rsid w:val="006C1531"/>
    <w:rsid w:val="006D2E05"/>
    <w:rsid w:val="006F1C19"/>
    <w:rsid w:val="006F7985"/>
    <w:rsid w:val="007029F8"/>
    <w:rsid w:val="00722A56"/>
    <w:rsid w:val="0073347E"/>
    <w:rsid w:val="00735BA5"/>
    <w:rsid w:val="00745D29"/>
    <w:rsid w:val="00745F30"/>
    <w:rsid w:val="00786F40"/>
    <w:rsid w:val="0079548B"/>
    <w:rsid w:val="007A6283"/>
    <w:rsid w:val="007C54DD"/>
    <w:rsid w:val="007C55C2"/>
    <w:rsid w:val="007F321A"/>
    <w:rsid w:val="007F3746"/>
    <w:rsid w:val="00834DE6"/>
    <w:rsid w:val="008412AE"/>
    <w:rsid w:val="00843298"/>
    <w:rsid w:val="00851A34"/>
    <w:rsid w:val="008560FE"/>
    <w:rsid w:val="00885DAE"/>
    <w:rsid w:val="008C1C4E"/>
    <w:rsid w:val="008C4B35"/>
    <w:rsid w:val="008E4028"/>
    <w:rsid w:val="008E43A6"/>
    <w:rsid w:val="008E477C"/>
    <w:rsid w:val="009010C4"/>
    <w:rsid w:val="00912188"/>
    <w:rsid w:val="00912E09"/>
    <w:rsid w:val="00933B09"/>
    <w:rsid w:val="00944C6A"/>
    <w:rsid w:val="00956849"/>
    <w:rsid w:val="00962406"/>
    <w:rsid w:val="00976C79"/>
    <w:rsid w:val="009D7A0F"/>
    <w:rsid w:val="009E14D2"/>
    <w:rsid w:val="009E24AF"/>
    <w:rsid w:val="00A24231"/>
    <w:rsid w:val="00A259D2"/>
    <w:rsid w:val="00A42843"/>
    <w:rsid w:val="00A948D3"/>
    <w:rsid w:val="00A95440"/>
    <w:rsid w:val="00AA2D3B"/>
    <w:rsid w:val="00AA5330"/>
    <w:rsid w:val="00AB071F"/>
    <w:rsid w:val="00AB4ACC"/>
    <w:rsid w:val="00AD5F47"/>
    <w:rsid w:val="00AE7B24"/>
    <w:rsid w:val="00B1706A"/>
    <w:rsid w:val="00B17CE8"/>
    <w:rsid w:val="00B27478"/>
    <w:rsid w:val="00B84869"/>
    <w:rsid w:val="00B909B6"/>
    <w:rsid w:val="00B96E5D"/>
    <w:rsid w:val="00BA0F90"/>
    <w:rsid w:val="00BB5A99"/>
    <w:rsid w:val="00BB676D"/>
    <w:rsid w:val="00BD4042"/>
    <w:rsid w:val="00BF55AC"/>
    <w:rsid w:val="00C1362D"/>
    <w:rsid w:val="00C2712F"/>
    <w:rsid w:val="00C5767C"/>
    <w:rsid w:val="00C7109E"/>
    <w:rsid w:val="00C74506"/>
    <w:rsid w:val="00C779C3"/>
    <w:rsid w:val="00C828A3"/>
    <w:rsid w:val="00C952F4"/>
    <w:rsid w:val="00CA0465"/>
    <w:rsid w:val="00CA3CD5"/>
    <w:rsid w:val="00CB0F91"/>
    <w:rsid w:val="00CD3790"/>
    <w:rsid w:val="00CF5AD4"/>
    <w:rsid w:val="00D309BF"/>
    <w:rsid w:val="00D324EA"/>
    <w:rsid w:val="00D342CB"/>
    <w:rsid w:val="00D46012"/>
    <w:rsid w:val="00D51BFE"/>
    <w:rsid w:val="00D53393"/>
    <w:rsid w:val="00D556B2"/>
    <w:rsid w:val="00D62530"/>
    <w:rsid w:val="00D64F34"/>
    <w:rsid w:val="00D66703"/>
    <w:rsid w:val="00D762B1"/>
    <w:rsid w:val="00D817AF"/>
    <w:rsid w:val="00D8318A"/>
    <w:rsid w:val="00D84FEC"/>
    <w:rsid w:val="00D95F2F"/>
    <w:rsid w:val="00DB2B57"/>
    <w:rsid w:val="00DC15F7"/>
    <w:rsid w:val="00DD0735"/>
    <w:rsid w:val="00DF2346"/>
    <w:rsid w:val="00E221BF"/>
    <w:rsid w:val="00E327A2"/>
    <w:rsid w:val="00E3702C"/>
    <w:rsid w:val="00E52A25"/>
    <w:rsid w:val="00E76B51"/>
    <w:rsid w:val="00E7775A"/>
    <w:rsid w:val="00E8657E"/>
    <w:rsid w:val="00EA6B8A"/>
    <w:rsid w:val="00EE0867"/>
    <w:rsid w:val="00EE443C"/>
    <w:rsid w:val="00EE73D9"/>
    <w:rsid w:val="00F049B7"/>
    <w:rsid w:val="00F12F84"/>
    <w:rsid w:val="00F419AB"/>
    <w:rsid w:val="00F82787"/>
    <w:rsid w:val="00F83901"/>
    <w:rsid w:val="00F86408"/>
    <w:rsid w:val="00F867DD"/>
    <w:rsid w:val="00F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848E3"/>
  <w15:docId w15:val="{A4824E33-101E-4E59-85B4-0A79240C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79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D379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D379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D3790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37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37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790"/>
  </w:style>
  <w:style w:type="paragraph" w:customStyle="1" w:styleId="Default">
    <w:name w:val="Default"/>
    <w:rsid w:val="00CD3790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C3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E43A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500C-06CC-4A4F-BC2F-791EFD17F3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6e61b0-75f0-4d74-93e3-d29d3352cbd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9258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2018-11-20T13:59:00Z</cp:lastPrinted>
  <dcterms:created xsi:type="dcterms:W3CDTF">2025-07-10T10:36:00Z</dcterms:created>
  <dcterms:modified xsi:type="dcterms:W3CDTF">2025-07-10T10:36:00Z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