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993"/>
        <w:gridCol w:w="708"/>
        <w:gridCol w:w="709"/>
        <w:gridCol w:w="779"/>
        <w:gridCol w:w="744"/>
        <w:gridCol w:w="320"/>
        <w:gridCol w:w="601"/>
        <w:gridCol w:w="108"/>
      </w:tblGrid>
      <w:tr w:rsidR="00D84FEC" w14:paraId="27309129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6BD359F" w14:textId="77777777" w:rsidR="00D84FEC" w:rsidRDefault="00D84FEC" w:rsidP="00675DE1">
            <w:pPr>
              <w:pStyle w:val="Heading3"/>
              <w:spacing w:before="120"/>
            </w:pPr>
            <w:r>
              <w:t>A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3BEE6CF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3DA96911" w14:textId="77777777" w:rsidR="00D84FEC" w:rsidRDefault="00D84FEC" w:rsidP="003F2BA8">
            <w:pPr>
              <w:jc w:val="both"/>
              <w:rPr>
                <w:b/>
              </w:rPr>
            </w:pPr>
          </w:p>
        </w:tc>
      </w:tr>
      <w:tr w:rsidR="00D84FEC" w14:paraId="3CD73481" w14:textId="77777777" w:rsidTr="00E96191">
        <w:tc>
          <w:tcPr>
            <w:tcW w:w="709" w:type="dxa"/>
          </w:tcPr>
          <w:p w14:paraId="0D3D9F86" w14:textId="77777777" w:rsidR="00D84FEC" w:rsidRDefault="00D84FEC"/>
        </w:tc>
        <w:tc>
          <w:tcPr>
            <w:tcW w:w="4678" w:type="dxa"/>
          </w:tcPr>
          <w:p w14:paraId="101D920D" w14:textId="27DB205D" w:rsidR="00D84FEC" w:rsidRDefault="00D84FEC" w:rsidP="003F2BA8">
            <w:pPr>
              <w:spacing w:after="120"/>
            </w:pPr>
            <w:r>
              <w:t>Job Title:</w:t>
            </w:r>
            <w:r w:rsidR="00FF7658">
              <w:t xml:space="preserve"> </w:t>
            </w:r>
            <w:r w:rsidR="0020017C">
              <w:t xml:space="preserve">Retail </w:t>
            </w:r>
            <w:r w:rsidR="006032F2">
              <w:t>Contract</w:t>
            </w:r>
            <w:r w:rsidR="0020017C">
              <w:t>s</w:t>
            </w:r>
            <w:r w:rsidR="006032F2">
              <w:t xml:space="preserve"> Manager</w:t>
            </w:r>
          </w:p>
        </w:tc>
        <w:tc>
          <w:tcPr>
            <w:tcW w:w="993" w:type="dxa"/>
          </w:tcPr>
          <w:p w14:paraId="5978C34E" w14:textId="77777777" w:rsidR="00D84FEC" w:rsidRDefault="00D84FEC" w:rsidP="00E96191">
            <w:pPr>
              <w:jc w:val="both"/>
            </w:pPr>
          </w:p>
          <w:p w14:paraId="08E9653A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CDD0608" w14:textId="7E3CF9C8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</w:t>
            </w:r>
            <w:r w:rsidR="00D45ACA">
              <w:t>Commercial</w:t>
            </w:r>
          </w:p>
        </w:tc>
        <w:tc>
          <w:tcPr>
            <w:tcW w:w="709" w:type="dxa"/>
            <w:gridSpan w:val="2"/>
          </w:tcPr>
          <w:p w14:paraId="463D684D" w14:textId="77777777" w:rsidR="00D84FEC" w:rsidRDefault="00D84FEC" w:rsidP="00E96191">
            <w:pPr>
              <w:jc w:val="both"/>
            </w:pPr>
          </w:p>
        </w:tc>
      </w:tr>
      <w:tr w:rsidR="00D84FEC" w14:paraId="370942FD" w14:textId="77777777" w:rsidTr="00E96191">
        <w:tc>
          <w:tcPr>
            <w:tcW w:w="709" w:type="dxa"/>
          </w:tcPr>
          <w:p w14:paraId="27060D3C" w14:textId="77777777" w:rsidR="00D84FEC" w:rsidRDefault="00D84FEC"/>
        </w:tc>
        <w:tc>
          <w:tcPr>
            <w:tcW w:w="4678" w:type="dxa"/>
          </w:tcPr>
          <w:p w14:paraId="2E367E81" w14:textId="0124464C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8A12CA">
              <w:t>4 More London</w:t>
            </w:r>
          </w:p>
        </w:tc>
        <w:tc>
          <w:tcPr>
            <w:tcW w:w="993" w:type="dxa"/>
          </w:tcPr>
          <w:p w14:paraId="7B9FEE2E" w14:textId="77777777" w:rsidR="00D84FEC" w:rsidRDefault="00D84FEC" w:rsidP="00E96191">
            <w:pPr>
              <w:jc w:val="both"/>
            </w:pPr>
          </w:p>
          <w:p w14:paraId="41815A50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38E94159" w14:textId="581F3707" w:rsidR="00D84FEC" w:rsidRDefault="00D84FEC" w:rsidP="006032F2">
            <w:pPr>
              <w:jc w:val="both"/>
            </w:pPr>
            <w:r>
              <w:t>Unique Post Number:</w:t>
            </w:r>
            <w:r w:rsidR="00675DE1">
              <w:t xml:space="preserve"> </w:t>
            </w:r>
          </w:p>
        </w:tc>
        <w:tc>
          <w:tcPr>
            <w:tcW w:w="709" w:type="dxa"/>
            <w:gridSpan w:val="2"/>
          </w:tcPr>
          <w:p w14:paraId="677CBA70" w14:textId="77777777" w:rsidR="00D84FEC" w:rsidRDefault="00D84FEC" w:rsidP="00E96191">
            <w:pPr>
              <w:jc w:val="both"/>
            </w:pPr>
          </w:p>
        </w:tc>
      </w:tr>
      <w:tr w:rsidR="00D84FEC" w14:paraId="3B7A3261" w14:textId="77777777" w:rsidTr="00E96191">
        <w:tc>
          <w:tcPr>
            <w:tcW w:w="709" w:type="dxa"/>
          </w:tcPr>
          <w:p w14:paraId="795BB7C0" w14:textId="77777777" w:rsidR="00D84FEC" w:rsidRDefault="00D84FEC"/>
        </w:tc>
        <w:tc>
          <w:tcPr>
            <w:tcW w:w="4678" w:type="dxa"/>
          </w:tcPr>
          <w:p w14:paraId="4EA54AC4" w14:textId="6096481C" w:rsidR="00D84FEC" w:rsidRDefault="00D84FEC" w:rsidP="00462679">
            <w:pPr>
              <w:spacing w:after="120"/>
              <w:jc w:val="both"/>
            </w:pPr>
            <w:r>
              <w:t>Reports To:</w:t>
            </w:r>
            <w:r w:rsidR="00FF7658">
              <w:t xml:space="preserve"> </w:t>
            </w:r>
            <w:r w:rsidR="001E4219">
              <w:t>Head of Retail Operations</w:t>
            </w:r>
          </w:p>
        </w:tc>
        <w:tc>
          <w:tcPr>
            <w:tcW w:w="993" w:type="dxa"/>
          </w:tcPr>
          <w:p w14:paraId="36323186" w14:textId="77777777" w:rsidR="00D84FEC" w:rsidRDefault="00D84FEC" w:rsidP="00E96191">
            <w:pPr>
              <w:jc w:val="both"/>
            </w:pPr>
          </w:p>
          <w:p w14:paraId="3EA29FDF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FDBFEB5" w14:textId="67C4BD15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1E4219">
              <w:t>MG2</w:t>
            </w:r>
          </w:p>
        </w:tc>
        <w:tc>
          <w:tcPr>
            <w:tcW w:w="709" w:type="dxa"/>
            <w:gridSpan w:val="2"/>
          </w:tcPr>
          <w:p w14:paraId="35C757A5" w14:textId="77777777" w:rsidR="00D84FEC" w:rsidRDefault="00D84FEC" w:rsidP="00E96191">
            <w:pPr>
              <w:jc w:val="both"/>
            </w:pPr>
          </w:p>
        </w:tc>
      </w:tr>
      <w:tr w:rsidR="00D84FEC" w14:paraId="130F59B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9EB7A1F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9B8CAA8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1436F3E" w14:textId="33902DD5" w:rsidR="00D84FEC" w:rsidRPr="000C649A" w:rsidRDefault="000C649A" w:rsidP="00675DE1">
            <w:pPr>
              <w:spacing w:before="120"/>
              <w:jc w:val="both"/>
            </w:pPr>
            <w:r>
              <w:t xml:space="preserve">This </w:t>
            </w:r>
            <w:r w:rsidR="00643706">
              <w:t xml:space="preserve">position plays an important role within the </w:t>
            </w:r>
            <w:r w:rsidR="008E1665">
              <w:t>Retail Operations</w:t>
            </w:r>
            <w:r w:rsidR="00643706">
              <w:t xml:space="preserve"> </w:t>
            </w:r>
            <w:r w:rsidR="000024D5">
              <w:t>team, providing specialist commercial and contractual management to drive value and compliance within the</w:t>
            </w:r>
            <w:r w:rsidR="00DD3F12">
              <w:t xml:space="preserve"> eight figure</w:t>
            </w:r>
            <w:r w:rsidR="000024D5">
              <w:t xml:space="preserve"> </w:t>
            </w:r>
            <w:r w:rsidR="008E1665">
              <w:t>Retail</w:t>
            </w:r>
            <w:r w:rsidR="000024D5">
              <w:t xml:space="preserve"> contract portfolio</w:t>
            </w:r>
            <w:r w:rsidR="00B77664">
              <w:t xml:space="preserve">. </w:t>
            </w:r>
          </w:p>
        </w:tc>
      </w:tr>
      <w:tr w:rsidR="00D84FEC" w14:paraId="525DB3BE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EF0AFAC" w14:textId="77777777" w:rsidR="00D84FEC" w:rsidRDefault="00D84FEC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2805D407" w14:textId="77777777" w:rsidR="00CA745C" w:rsidRDefault="00CA745C" w:rsidP="00E96191">
            <w:pPr>
              <w:jc w:val="both"/>
              <w:rPr>
                <w:bCs/>
              </w:rPr>
            </w:pPr>
          </w:p>
          <w:p w14:paraId="0480833F" w14:textId="0D62B8DE" w:rsidR="003D58FF" w:rsidRDefault="000F0246" w:rsidP="000F0246">
            <w:pPr>
              <w:jc w:val="both"/>
            </w:pPr>
            <w:r>
              <w:t xml:space="preserve">The purpose of this role is to </w:t>
            </w:r>
            <w:r w:rsidR="00B974C8">
              <w:t xml:space="preserve">work </w:t>
            </w:r>
            <w:r w:rsidR="0093728E">
              <w:t xml:space="preserve">with business stakeholders and third-party suppliers to ensure that contractual </w:t>
            </w:r>
            <w:r w:rsidR="00F6247E">
              <w:t xml:space="preserve">commitments are </w:t>
            </w:r>
            <w:r w:rsidR="00C57AB2">
              <w:t>monitored</w:t>
            </w:r>
            <w:r w:rsidR="00F6247E">
              <w:t xml:space="preserve">, relevant and aligned with business objectives, and proactively managed to </w:t>
            </w:r>
            <w:r w:rsidR="00345F70">
              <w:t>build better</w:t>
            </w:r>
            <w:r w:rsidR="00187244">
              <w:t xml:space="preserve"> relationships and performance growth.</w:t>
            </w:r>
            <w:r w:rsidR="00966BCD">
              <w:t xml:space="preserve"> As such, this role will have a significant bearing on the output and </w:t>
            </w:r>
            <w:r w:rsidR="00315173">
              <w:t xml:space="preserve">value achieved by the team and will play a major part in ensuring that third-party contracts </w:t>
            </w:r>
            <w:r w:rsidR="00CD49DA">
              <w:t>add value to Southeastern and its customers.</w:t>
            </w:r>
          </w:p>
          <w:p w14:paraId="5DA0FEE0" w14:textId="77777777" w:rsidR="006B4C54" w:rsidRDefault="006B4C54" w:rsidP="000F0246">
            <w:pPr>
              <w:jc w:val="both"/>
            </w:pPr>
          </w:p>
          <w:p w14:paraId="42DAB8F5" w14:textId="3B6A9996" w:rsidR="006B4C54" w:rsidRDefault="002E7918" w:rsidP="000F0246">
            <w:pPr>
              <w:jc w:val="both"/>
            </w:pPr>
            <w:r>
              <w:t xml:space="preserve">Southeastern </w:t>
            </w:r>
            <w:r w:rsidR="00AB54E9">
              <w:t xml:space="preserve">are </w:t>
            </w:r>
            <w:r w:rsidR="00CB780E">
              <w:t>currently in the process of retendering</w:t>
            </w:r>
            <w:r w:rsidR="0044425D">
              <w:t xml:space="preserve"> and extending</w:t>
            </w:r>
            <w:r w:rsidR="00CB780E">
              <w:t xml:space="preserve"> a number of Retail Contract</w:t>
            </w:r>
            <w:r w:rsidR="004E4AC3">
              <w:t>s, with the expectation t</w:t>
            </w:r>
            <w:r w:rsidR="00813AD3">
              <w:t xml:space="preserve">hat the contracts will </w:t>
            </w:r>
            <w:r w:rsidR="0064152E">
              <w:t xml:space="preserve">take effect within 6-9 months.  </w:t>
            </w:r>
            <w:r w:rsidR="006D003D">
              <w:t>Th</w:t>
            </w:r>
            <w:r w:rsidR="00241C77">
              <w:t xml:space="preserve">e successful applicant will use their expertise </w:t>
            </w:r>
            <w:r w:rsidR="006D003D">
              <w:t xml:space="preserve">to </w:t>
            </w:r>
            <w:r w:rsidR="00764D59">
              <w:t>assist</w:t>
            </w:r>
            <w:r w:rsidR="0039260F">
              <w:t xml:space="preserve"> the team</w:t>
            </w:r>
            <w:r w:rsidR="00764D59">
              <w:t xml:space="preserve"> with</w:t>
            </w:r>
            <w:r w:rsidR="0044425D">
              <w:t xml:space="preserve"> the</w:t>
            </w:r>
            <w:r w:rsidR="00764D59">
              <w:t xml:space="preserve"> </w:t>
            </w:r>
            <w:r w:rsidR="0039260F">
              <w:t xml:space="preserve">tender process </w:t>
            </w:r>
            <w:r w:rsidR="0044425D">
              <w:t xml:space="preserve">and </w:t>
            </w:r>
            <w:r w:rsidR="00782E8D">
              <w:t xml:space="preserve">ensure </w:t>
            </w:r>
            <w:r w:rsidR="00241C77">
              <w:t xml:space="preserve">that </w:t>
            </w:r>
            <w:r w:rsidR="00782E8D">
              <w:t xml:space="preserve">our new contracts </w:t>
            </w:r>
            <w:r w:rsidR="001F1040">
              <w:t xml:space="preserve">maximise and </w:t>
            </w:r>
            <w:r w:rsidR="00F9133D">
              <w:t>deliver</w:t>
            </w:r>
            <w:r w:rsidR="001F1040">
              <w:t xml:space="preserve"> the most value for the business</w:t>
            </w:r>
            <w:r w:rsidR="0074689F">
              <w:t xml:space="preserve"> over the lifetime of the contract</w:t>
            </w:r>
            <w:r w:rsidR="001F1040">
              <w:t>.</w:t>
            </w:r>
            <w:r w:rsidR="006173D1">
              <w:t xml:space="preserve">  </w:t>
            </w:r>
          </w:p>
          <w:p w14:paraId="61D94BAA" w14:textId="77777777" w:rsidR="00774389" w:rsidRDefault="00774389" w:rsidP="000F0246">
            <w:pPr>
              <w:jc w:val="both"/>
            </w:pPr>
          </w:p>
          <w:p w14:paraId="5E11E11B" w14:textId="549213B9" w:rsidR="00774389" w:rsidRDefault="000021E5" w:rsidP="000F0246">
            <w:pPr>
              <w:jc w:val="both"/>
            </w:pPr>
            <w:r>
              <w:t xml:space="preserve">The role may also be required to assist with </w:t>
            </w:r>
            <w:r w:rsidR="00392A54">
              <w:t>establishing or renegotiating additional contracts within the Commercial function, to en</w:t>
            </w:r>
            <w:r w:rsidR="00742609">
              <w:t xml:space="preserve">sure </w:t>
            </w:r>
            <w:r w:rsidR="00384260">
              <w:t xml:space="preserve">the department is maximising </w:t>
            </w:r>
            <w:r w:rsidR="00DF1BFA">
              <w:t>value from the supply chain</w:t>
            </w:r>
            <w:r w:rsidR="00392A54">
              <w:t>.</w:t>
            </w:r>
          </w:p>
          <w:p w14:paraId="1EF489EB" w14:textId="77777777" w:rsidR="003D58FF" w:rsidRDefault="003D58FF" w:rsidP="000F0246">
            <w:pPr>
              <w:jc w:val="both"/>
            </w:pPr>
          </w:p>
          <w:p w14:paraId="1312C6B4" w14:textId="2A912809" w:rsidR="00D84FEC" w:rsidRDefault="00D84FEC" w:rsidP="009C14D4">
            <w:pPr>
              <w:jc w:val="both"/>
              <w:rPr>
                <w:b/>
              </w:rPr>
            </w:pPr>
          </w:p>
        </w:tc>
      </w:tr>
      <w:tr w:rsidR="00D84FEC" w14:paraId="3B693E5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6FC55D62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019C5EE2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6F0B55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4EF49511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F8896D2" w14:textId="77777777" w:rsidR="00422300" w:rsidRDefault="00D84FEC" w:rsidP="006B0B70">
            <w:r>
              <w:t>C1</w:t>
            </w:r>
          </w:p>
          <w:p w14:paraId="460ED79F" w14:textId="77777777" w:rsidR="00422300" w:rsidRDefault="00422300" w:rsidP="006B0B70"/>
          <w:p w14:paraId="4272C6BA" w14:textId="77777777" w:rsidR="007322EE" w:rsidRDefault="007322EE" w:rsidP="006B0B70"/>
          <w:p w14:paraId="0B9FACCE" w14:textId="77777777" w:rsidR="0070705E" w:rsidRDefault="0070705E" w:rsidP="006B0B70"/>
          <w:p w14:paraId="483EB0DA" w14:textId="3B60CCDA" w:rsidR="00FA257C" w:rsidRDefault="009232E3" w:rsidP="006B0B70">
            <w:r>
              <w:t>C2</w:t>
            </w:r>
          </w:p>
          <w:p w14:paraId="28136886" w14:textId="77777777" w:rsidR="007322EE" w:rsidRDefault="007322EE" w:rsidP="006B0B70"/>
          <w:p w14:paraId="0B9DA18B" w14:textId="77777777" w:rsidR="007322EE" w:rsidRDefault="007322EE" w:rsidP="006B0B70"/>
          <w:p w14:paraId="45AB5EFD" w14:textId="77777777" w:rsidR="0070705E" w:rsidRDefault="0070705E" w:rsidP="006B0B70"/>
          <w:p w14:paraId="394B0233" w14:textId="07B4FF1B" w:rsidR="007322EE" w:rsidRDefault="007322EE" w:rsidP="006B0B70">
            <w:r>
              <w:t>C3</w:t>
            </w:r>
          </w:p>
          <w:p w14:paraId="0DA03AEB" w14:textId="77777777" w:rsidR="007322EE" w:rsidRDefault="007322EE" w:rsidP="006B0B70"/>
          <w:p w14:paraId="5700FB6C" w14:textId="77777777" w:rsidR="007322EE" w:rsidRDefault="007322EE" w:rsidP="006B0B70"/>
          <w:p w14:paraId="5E516A00" w14:textId="77777777" w:rsidR="0070705E" w:rsidRDefault="0070705E" w:rsidP="006B0B70"/>
          <w:p w14:paraId="5BBA44F6" w14:textId="5A67E1E1" w:rsidR="007322EE" w:rsidRDefault="007322EE" w:rsidP="006B0B70">
            <w:r>
              <w:t>C4</w:t>
            </w:r>
          </w:p>
          <w:p w14:paraId="13F46C55" w14:textId="77777777" w:rsidR="007322EE" w:rsidRDefault="007322EE" w:rsidP="006B0B70"/>
          <w:p w14:paraId="22ECBFFD" w14:textId="77777777" w:rsidR="007322EE" w:rsidRDefault="007322EE" w:rsidP="006B0B70"/>
          <w:p w14:paraId="6F8E0ED8" w14:textId="25A93B6A" w:rsidR="007322EE" w:rsidRDefault="007322EE" w:rsidP="006B0B70">
            <w:r>
              <w:t>C5</w:t>
            </w:r>
          </w:p>
          <w:p w14:paraId="37DC6EAD" w14:textId="77777777" w:rsidR="007322EE" w:rsidRDefault="007322EE" w:rsidP="006B0B70"/>
          <w:p w14:paraId="17A03C3A" w14:textId="77777777" w:rsidR="00050958" w:rsidRDefault="00050958" w:rsidP="006B0B70"/>
          <w:p w14:paraId="3C8C7483" w14:textId="77777777" w:rsidR="00050958" w:rsidRDefault="00050958" w:rsidP="006B0B70"/>
          <w:p w14:paraId="6664EC89" w14:textId="79333530" w:rsidR="007322EE" w:rsidRDefault="007322EE" w:rsidP="006B0B70">
            <w:r>
              <w:lastRenderedPageBreak/>
              <w:t>C6</w:t>
            </w:r>
          </w:p>
          <w:p w14:paraId="6AC9C5CD" w14:textId="77777777" w:rsidR="00D54FF9" w:rsidRDefault="00D54FF9" w:rsidP="006B0B70"/>
          <w:p w14:paraId="707FC9D1" w14:textId="77777777" w:rsidR="008F26EB" w:rsidRDefault="008F26EB" w:rsidP="006B0B70"/>
          <w:p w14:paraId="3F5E0110" w14:textId="77777777" w:rsidR="000911ED" w:rsidRDefault="000911ED" w:rsidP="006B0B70"/>
          <w:p w14:paraId="59B63717" w14:textId="11D1F984" w:rsidR="007322EE" w:rsidRDefault="007322EE" w:rsidP="006B0B70">
            <w:r>
              <w:t>C7</w:t>
            </w:r>
          </w:p>
          <w:p w14:paraId="5F3869B1" w14:textId="77777777" w:rsidR="007322EE" w:rsidRDefault="007322EE" w:rsidP="006B0B70"/>
          <w:p w14:paraId="432964C3" w14:textId="77777777" w:rsidR="00D55FCA" w:rsidRDefault="00D55FCA" w:rsidP="006B0B70"/>
          <w:p w14:paraId="123B8B96" w14:textId="642038A1" w:rsidR="007322EE" w:rsidRDefault="007322EE" w:rsidP="006B0B70">
            <w:r>
              <w:t>C8</w:t>
            </w:r>
          </w:p>
          <w:p w14:paraId="1166BCA2" w14:textId="77777777" w:rsidR="007322EE" w:rsidRDefault="007322EE" w:rsidP="006B0B70"/>
          <w:p w14:paraId="0A43D25E" w14:textId="77777777" w:rsidR="009F52E7" w:rsidRDefault="009F52E7" w:rsidP="006B0B70"/>
          <w:p w14:paraId="2D5F3CBD" w14:textId="766ECD5B" w:rsidR="007322EE" w:rsidRDefault="007322EE" w:rsidP="006B0B70">
            <w:r>
              <w:t>C9</w:t>
            </w:r>
          </w:p>
          <w:p w14:paraId="39A9E6BE" w14:textId="77777777" w:rsidR="007322EE" w:rsidRDefault="007322EE" w:rsidP="006B0B70"/>
          <w:p w14:paraId="4605D6D2" w14:textId="77777777" w:rsidR="007322EE" w:rsidRDefault="007322EE" w:rsidP="006B0B70"/>
          <w:p w14:paraId="3424DC6A" w14:textId="77777777" w:rsidR="0070705E" w:rsidRDefault="0070705E" w:rsidP="006B0B70"/>
          <w:p w14:paraId="690F2149" w14:textId="02E55CC6" w:rsidR="007322EE" w:rsidRDefault="007322EE" w:rsidP="006B0B70">
            <w:r>
              <w:t>C10</w:t>
            </w:r>
          </w:p>
          <w:p w14:paraId="442C4CBF" w14:textId="77777777" w:rsidR="006811CD" w:rsidRDefault="006811CD" w:rsidP="006B0B70"/>
          <w:p w14:paraId="03EC05B8" w14:textId="77777777" w:rsidR="0070705E" w:rsidRDefault="0070705E" w:rsidP="006B0B70"/>
          <w:p w14:paraId="728912AD" w14:textId="0528A91A" w:rsidR="007322EE" w:rsidRDefault="007322EE" w:rsidP="006B0B70">
            <w:r>
              <w:t>C11</w:t>
            </w:r>
          </w:p>
          <w:p w14:paraId="0F9E6824" w14:textId="77777777" w:rsidR="007322EE" w:rsidRDefault="007322EE" w:rsidP="006B0B70"/>
          <w:p w14:paraId="4B0DF921" w14:textId="6663D511" w:rsidR="007322EE" w:rsidRDefault="007322EE" w:rsidP="006B0B70">
            <w:r>
              <w:t>C12</w:t>
            </w:r>
          </w:p>
          <w:p w14:paraId="721B4ED6" w14:textId="77777777" w:rsidR="007322EE" w:rsidRDefault="007322EE" w:rsidP="006B0B70"/>
          <w:p w14:paraId="0B4B52BB" w14:textId="77777777" w:rsidR="009F52E7" w:rsidRDefault="009F52E7" w:rsidP="006B0B70"/>
          <w:p w14:paraId="43CA34F8" w14:textId="77777777" w:rsidR="000911ED" w:rsidRDefault="000911ED" w:rsidP="006B0B70"/>
          <w:p w14:paraId="69ED43AB" w14:textId="23991BBF" w:rsidR="007322EE" w:rsidRDefault="007322EE" w:rsidP="006B0B70">
            <w:r>
              <w:t>C13</w:t>
            </w:r>
          </w:p>
          <w:p w14:paraId="428BB09B" w14:textId="77777777" w:rsidR="006811CD" w:rsidRDefault="006811CD" w:rsidP="006B0B70"/>
          <w:p w14:paraId="68B5B466" w14:textId="77777777" w:rsidR="006811CD" w:rsidRDefault="006811CD" w:rsidP="006B0B70"/>
          <w:p w14:paraId="4225BE7E" w14:textId="77777777" w:rsidR="008F26EB" w:rsidRDefault="00990B31" w:rsidP="006B0B70">
            <w:r>
              <w:t>C14</w:t>
            </w:r>
          </w:p>
          <w:p w14:paraId="3C1021CB" w14:textId="77777777" w:rsidR="003B5853" w:rsidRDefault="003B5853" w:rsidP="006B0B70"/>
          <w:p w14:paraId="12EFEAE5" w14:textId="77777777" w:rsidR="003B5853" w:rsidRDefault="003B5853" w:rsidP="006B0B70"/>
          <w:p w14:paraId="0CCDBEF3" w14:textId="77777777" w:rsidR="003B5853" w:rsidRDefault="003B5853" w:rsidP="006B0B70"/>
          <w:p w14:paraId="6D8A260C" w14:textId="77777777" w:rsidR="003B5853" w:rsidRDefault="003B5853" w:rsidP="006B0B70">
            <w:r>
              <w:t>C15</w:t>
            </w:r>
          </w:p>
          <w:p w14:paraId="768D8EE4" w14:textId="77777777" w:rsidR="003B5853" w:rsidRDefault="003B5853" w:rsidP="006B0B70"/>
          <w:p w14:paraId="02EC547C" w14:textId="77777777" w:rsidR="003B5853" w:rsidRDefault="003B5853" w:rsidP="006B0B70"/>
          <w:p w14:paraId="0B55A724" w14:textId="77777777" w:rsidR="003B5853" w:rsidRDefault="003B5853" w:rsidP="006B0B70"/>
          <w:p w14:paraId="632A35AE" w14:textId="77777777" w:rsidR="003B5853" w:rsidRDefault="003B5853" w:rsidP="006B0B70">
            <w:r>
              <w:t>C16</w:t>
            </w:r>
          </w:p>
          <w:p w14:paraId="4F7A5C55" w14:textId="77777777" w:rsidR="003B5853" w:rsidRDefault="003B5853" w:rsidP="006B0B70"/>
          <w:p w14:paraId="242896D1" w14:textId="77777777" w:rsidR="003B5853" w:rsidRDefault="003B5853" w:rsidP="006B0B70"/>
          <w:p w14:paraId="040311CA" w14:textId="6995D532" w:rsidR="003B5853" w:rsidRDefault="003B5853" w:rsidP="006B0B70">
            <w:r>
              <w:t>C17</w:t>
            </w: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48B13CD6" w14:textId="3054E1D3" w:rsid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lastRenderedPageBreak/>
              <w:t>Ensuring that suppliers adhere to their contractual responsibilities, and delivering the value achieved in the procurement process</w:t>
            </w:r>
            <w:r w:rsidR="0073742A">
              <w:rPr>
                <w:rFonts w:cs="Arial"/>
                <w:bCs/>
                <w:szCs w:val="22"/>
              </w:rPr>
              <w:t xml:space="preserve"> whilst also focusing on continuous improvement via performance improvements, </w:t>
            </w:r>
            <w:r w:rsidR="00EC4A6A">
              <w:rPr>
                <w:rFonts w:cs="Arial"/>
                <w:bCs/>
                <w:szCs w:val="22"/>
              </w:rPr>
              <w:t>and driving efficiency via savings and cost avoidance.</w:t>
            </w:r>
          </w:p>
          <w:p w14:paraId="292EDB99" w14:textId="77777777" w:rsidR="00021548" w:rsidRP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53337BBC" w14:textId="78AB910C" w:rsidR="00F70C1C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t xml:space="preserve">Managing change and negotiating best value on contracts, </w:t>
            </w:r>
            <w:r w:rsidR="00F81EE7">
              <w:rPr>
                <w:rFonts w:cs="Arial"/>
                <w:bCs/>
                <w:szCs w:val="22"/>
              </w:rPr>
              <w:t xml:space="preserve">working with </w:t>
            </w:r>
            <w:r w:rsidR="0061313A">
              <w:rPr>
                <w:rFonts w:cs="Arial"/>
                <w:bCs/>
                <w:szCs w:val="22"/>
              </w:rPr>
              <w:t xml:space="preserve">supply chain partners to seek opportunities for innovation </w:t>
            </w:r>
            <w:r w:rsidR="00346732">
              <w:rPr>
                <w:rFonts w:cs="Arial"/>
                <w:bCs/>
                <w:szCs w:val="22"/>
              </w:rPr>
              <w:t xml:space="preserve">whilst also ensuring that any proposed changes </w:t>
            </w:r>
            <w:r w:rsidR="00574BF0">
              <w:rPr>
                <w:rFonts w:cs="Arial"/>
                <w:bCs/>
                <w:szCs w:val="22"/>
              </w:rPr>
              <w:t>represent value for money, are justified and e</w:t>
            </w:r>
            <w:r w:rsidR="00F70C1C">
              <w:rPr>
                <w:rFonts w:cs="Arial"/>
                <w:bCs/>
                <w:szCs w:val="22"/>
              </w:rPr>
              <w:t>n</w:t>
            </w:r>
            <w:r w:rsidR="00574BF0">
              <w:rPr>
                <w:rFonts w:cs="Arial"/>
                <w:bCs/>
                <w:szCs w:val="22"/>
              </w:rPr>
              <w:t>sure continuous improvement</w:t>
            </w:r>
            <w:r w:rsidR="00F70C1C">
              <w:rPr>
                <w:rFonts w:cs="Arial"/>
                <w:bCs/>
                <w:szCs w:val="22"/>
              </w:rPr>
              <w:t xml:space="preserve"> throughout the contract lifecycle.</w:t>
            </w:r>
          </w:p>
          <w:p w14:paraId="237C3484" w14:textId="77777777" w:rsidR="00F70C1C" w:rsidRDefault="00F70C1C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12C95BD1" w14:textId="4D9ECA2D" w:rsidR="004759A0" w:rsidRDefault="00F70C1C" w:rsidP="004759A0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t>Providing contractual expertise to proactively manage any arising issues</w:t>
            </w:r>
            <w:r w:rsidR="004759A0">
              <w:rPr>
                <w:rFonts w:cs="Arial"/>
                <w:bCs/>
                <w:szCs w:val="22"/>
              </w:rPr>
              <w:t xml:space="preserve"> and being familiar with relevant procurement and contract regulations including the Procurement Act 2023 to ensure that Southeastern remains compliant with any contract management and reporting requirements</w:t>
            </w:r>
          </w:p>
          <w:p w14:paraId="2E08C3FF" w14:textId="77777777" w:rsidR="00F70C1C" w:rsidRDefault="00F70C1C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026207C7" w14:textId="68629AD8" w:rsidR="003C6DDF" w:rsidRDefault="00653327" w:rsidP="00021548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t>Administering the contract</w:t>
            </w:r>
            <w:r>
              <w:rPr>
                <w:rFonts w:cs="Arial"/>
                <w:bCs/>
                <w:szCs w:val="22"/>
              </w:rPr>
              <w:t xml:space="preserve"> to ensure compliance with deliverables and both Southeastern and the supplier’s obligations</w:t>
            </w:r>
            <w:r w:rsidR="003C6DDF">
              <w:rPr>
                <w:rFonts w:cs="Arial"/>
                <w:bCs/>
                <w:szCs w:val="22"/>
              </w:rPr>
              <w:t xml:space="preserve"> </w:t>
            </w:r>
          </w:p>
          <w:p w14:paraId="40D3635C" w14:textId="77777777" w:rsidR="003C6DDF" w:rsidRDefault="003C6DDF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61870852" w14:textId="3D1EF9D1" w:rsidR="00021548" w:rsidRDefault="003C6DDF" w:rsidP="00021548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</w:t>
            </w:r>
            <w:r w:rsidR="00021548" w:rsidRPr="00021548">
              <w:rPr>
                <w:rFonts w:cs="Arial"/>
                <w:bCs/>
                <w:szCs w:val="22"/>
              </w:rPr>
              <w:t>ssessing and validating payment applications to ensure cost accuracy</w:t>
            </w:r>
          </w:p>
          <w:p w14:paraId="2E63D2DA" w14:textId="77777777" w:rsidR="00021548" w:rsidRP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14479CA2" w14:textId="68655099" w:rsid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lastRenderedPageBreak/>
              <w:t>Developing optimised supplier relationships</w:t>
            </w:r>
            <w:r w:rsidR="000911ED">
              <w:rPr>
                <w:rFonts w:cs="Arial"/>
                <w:bCs/>
                <w:szCs w:val="22"/>
              </w:rPr>
              <w:t xml:space="preserve"> including</w:t>
            </w:r>
            <w:r w:rsidR="00886DE0">
              <w:rPr>
                <w:rFonts w:cs="Arial"/>
                <w:bCs/>
                <w:szCs w:val="22"/>
              </w:rPr>
              <w:t xml:space="preserve"> using SRM </w:t>
            </w:r>
            <w:r w:rsidR="000911ED">
              <w:rPr>
                <w:rFonts w:cs="Arial"/>
                <w:bCs/>
                <w:szCs w:val="22"/>
              </w:rPr>
              <w:t xml:space="preserve">tools and approaches </w:t>
            </w:r>
            <w:r w:rsidRPr="00021548">
              <w:rPr>
                <w:rFonts w:cs="Arial"/>
                <w:bCs/>
                <w:szCs w:val="22"/>
              </w:rPr>
              <w:t>which aim to lead to better collaboration, improved service quality and favourable pricing; as well as minimising disputed</w:t>
            </w:r>
            <w:r w:rsidR="001618AF">
              <w:rPr>
                <w:rFonts w:cs="Arial"/>
                <w:bCs/>
                <w:szCs w:val="22"/>
              </w:rPr>
              <w:t xml:space="preserve"> charges.</w:t>
            </w:r>
          </w:p>
          <w:p w14:paraId="04641020" w14:textId="77777777" w:rsidR="00021548" w:rsidRP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1A50A821" w14:textId="77777777" w:rsid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t>Mitigating supply chain risks by monitoring supplier performance, health and market conditions – proactively taking action to avoid disruption and ensure business continuity</w:t>
            </w:r>
          </w:p>
          <w:p w14:paraId="49BDC01A" w14:textId="77777777" w:rsidR="00021548" w:rsidRP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</w:p>
          <w:p w14:paraId="234EB316" w14:textId="77777777" w:rsidR="00021548" w:rsidRPr="00021548" w:rsidRDefault="00021548" w:rsidP="00021548">
            <w:pPr>
              <w:jc w:val="both"/>
              <w:rPr>
                <w:rFonts w:cs="Arial"/>
                <w:bCs/>
                <w:szCs w:val="22"/>
              </w:rPr>
            </w:pPr>
            <w:r w:rsidRPr="00021548">
              <w:rPr>
                <w:rFonts w:cs="Arial"/>
                <w:bCs/>
                <w:szCs w:val="22"/>
              </w:rPr>
              <w:t>Standardising data capture to allow increased market analysis and opportunity assessment, as well as supporting reporting and transparency requirements.</w:t>
            </w:r>
          </w:p>
          <w:p w14:paraId="7BFC9E6B" w14:textId="77777777" w:rsidR="000911ED" w:rsidRDefault="000911ED" w:rsidP="007322EE">
            <w:pPr>
              <w:jc w:val="both"/>
              <w:rPr>
                <w:rFonts w:cs="Arial"/>
                <w:szCs w:val="22"/>
              </w:rPr>
            </w:pPr>
          </w:p>
          <w:p w14:paraId="657A5E68" w14:textId="25B06AC4" w:rsidR="00F81EE7" w:rsidRDefault="00021548" w:rsidP="007322E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Liaising with the Procurement team throughout the sourcing process to ensure that business requirements are </w:t>
            </w:r>
            <w:r w:rsidR="00F81EE7">
              <w:rPr>
                <w:rFonts w:cs="Arial"/>
                <w:szCs w:val="22"/>
              </w:rPr>
              <w:t>agreed</w:t>
            </w:r>
            <w:r>
              <w:rPr>
                <w:rFonts w:cs="Arial"/>
                <w:szCs w:val="22"/>
              </w:rPr>
              <w:t xml:space="preserve"> and technical specifications and performance regimes are </w:t>
            </w:r>
            <w:r w:rsidR="00F81EE7">
              <w:rPr>
                <w:rFonts w:cs="Arial"/>
                <w:szCs w:val="22"/>
              </w:rPr>
              <w:t>representative of business priorities and focus.</w:t>
            </w:r>
          </w:p>
          <w:p w14:paraId="6500CC36" w14:textId="77777777" w:rsidR="00784DC5" w:rsidRDefault="00784DC5" w:rsidP="007322EE">
            <w:pPr>
              <w:jc w:val="both"/>
              <w:rPr>
                <w:rFonts w:cs="Arial"/>
                <w:szCs w:val="22"/>
              </w:rPr>
            </w:pPr>
          </w:p>
          <w:p w14:paraId="739FA07E" w14:textId="01588130" w:rsidR="00D55FCA" w:rsidRPr="00021548" w:rsidRDefault="00784DC5" w:rsidP="001618AF">
            <w:pPr>
              <w:jc w:val="both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Maximising and managing social value generation in </w:t>
            </w:r>
            <w:r w:rsidR="00656457">
              <w:rPr>
                <w:rFonts w:cs="Arial"/>
                <w:szCs w:val="22"/>
              </w:rPr>
              <w:t>third-party contracts, including monitoring contractual commitments</w:t>
            </w:r>
            <w:r w:rsidR="0070705E">
              <w:rPr>
                <w:rFonts w:cs="Arial"/>
                <w:szCs w:val="22"/>
              </w:rPr>
              <w:t xml:space="preserve"> and net zero progress.</w:t>
            </w:r>
            <w:r w:rsidR="007322EE" w:rsidRPr="00021548">
              <w:rPr>
                <w:rFonts w:cs="Arial"/>
                <w:bCs/>
                <w:szCs w:val="22"/>
              </w:rPr>
              <w:t xml:space="preserve"> </w:t>
            </w:r>
          </w:p>
          <w:p w14:paraId="2D550577" w14:textId="77777777" w:rsidR="00F64079" w:rsidRPr="00021548" w:rsidRDefault="00F64079" w:rsidP="00F64079">
            <w:pPr>
              <w:jc w:val="both"/>
              <w:rPr>
                <w:rFonts w:cs="Arial"/>
                <w:szCs w:val="22"/>
              </w:rPr>
            </w:pPr>
          </w:p>
          <w:p w14:paraId="31BF671F" w14:textId="6FAD825F" w:rsidR="00F64079" w:rsidRPr="00021548" w:rsidRDefault="00F64079" w:rsidP="00F64079">
            <w:pPr>
              <w:jc w:val="both"/>
              <w:rPr>
                <w:rFonts w:cs="Arial"/>
                <w:szCs w:val="22"/>
              </w:rPr>
            </w:pPr>
            <w:r w:rsidRPr="00021548">
              <w:rPr>
                <w:rFonts w:cs="Arial"/>
                <w:szCs w:val="22"/>
              </w:rPr>
              <w:t xml:space="preserve">Liaising with Finance Business Partners to </w:t>
            </w:r>
            <w:r w:rsidR="0027554B">
              <w:rPr>
                <w:rFonts w:cs="Arial"/>
                <w:szCs w:val="22"/>
              </w:rPr>
              <w:t>manage contract and</w:t>
            </w:r>
            <w:r w:rsidRPr="00021548">
              <w:rPr>
                <w:rFonts w:cs="Arial"/>
                <w:szCs w:val="22"/>
              </w:rPr>
              <w:t xml:space="preserve"> project budgets.</w:t>
            </w:r>
          </w:p>
          <w:p w14:paraId="16E3CF47" w14:textId="77777777" w:rsidR="007322EE" w:rsidRPr="00021548" w:rsidRDefault="007322EE" w:rsidP="00F64079">
            <w:pPr>
              <w:jc w:val="both"/>
              <w:rPr>
                <w:rFonts w:cs="Arial"/>
                <w:szCs w:val="22"/>
              </w:rPr>
            </w:pPr>
          </w:p>
          <w:p w14:paraId="3C93A76B" w14:textId="178C720B" w:rsidR="007322EE" w:rsidRPr="00021548" w:rsidRDefault="0070705E" w:rsidP="00F6407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Providing a</w:t>
            </w:r>
            <w:r w:rsidR="009F52E7" w:rsidRPr="00021548">
              <w:rPr>
                <w:rFonts w:cs="Arial"/>
                <w:szCs w:val="22"/>
              </w:rPr>
              <w:t>d hoc s</w:t>
            </w:r>
            <w:r w:rsidR="007322EE" w:rsidRPr="00021548">
              <w:rPr>
                <w:rFonts w:cs="Arial"/>
                <w:szCs w:val="22"/>
              </w:rPr>
              <w:t xml:space="preserve">upport of </w:t>
            </w:r>
            <w:r w:rsidR="009F52E7" w:rsidRPr="00021548">
              <w:rPr>
                <w:rFonts w:cs="Arial"/>
                <w:szCs w:val="22"/>
              </w:rPr>
              <w:t>associated business/industry</w:t>
            </w:r>
            <w:r w:rsidR="007322EE" w:rsidRPr="00021548">
              <w:rPr>
                <w:rFonts w:cs="Arial"/>
                <w:szCs w:val="22"/>
              </w:rPr>
              <w:t xml:space="preserve"> initiatives such as cross-organisation </w:t>
            </w:r>
            <w:r w:rsidR="00784DC5">
              <w:rPr>
                <w:rFonts w:cs="Arial"/>
                <w:szCs w:val="22"/>
              </w:rPr>
              <w:t>or industry initiatives, supplier relationship management</w:t>
            </w:r>
            <w:r w:rsidR="007322EE" w:rsidRPr="00021548">
              <w:rPr>
                <w:rFonts w:cs="Arial"/>
                <w:szCs w:val="22"/>
              </w:rPr>
              <w:t>, contract negotiations or supply chain management.</w:t>
            </w:r>
          </w:p>
          <w:p w14:paraId="7EE9B5D2" w14:textId="77777777" w:rsidR="007322EE" w:rsidRPr="00021548" w:rsidRDefault="007322EE" w:rsidP="007322EE">
            <w:pPr>
              <w:jc w:val="both"/>
              <w:rPr>
                <w:rFonts w:cs="Arial"/>
                <w:bCs/>
                <w:szCs w:val="22"/>
              </w:rPr>
            </w:pPr>
          </w:p>
          <w:p w14:paraId="54393951" w14:textId="1D1A5BF2" w:rsidR="00675DE1" w:rsidRDefault="00F64079" w:rsidP="007322EE">
            <w:pPr>
              <w:jc w:val="both"/>
              <w:rPr>
                <w:rFonts w:cs="Arial"/>
                <w:szCs w:val="22"/>
              </w:rPr>
            </w:pPr>
            <w:r w:rsidRPr="00021548">
              <w:rPr>
                <w:rFonts w:cs="Arial"/>
                <w:szCs w:val="22"/>
              </w:rPr>
              <w:t xml:space="preserve">Ensuring that all contracts which involve </w:t>
            </w:r>
            <w:r w:rsidR="00241C77">
              <w:rPr>
                <w:rFonts w:cs="Arial"/>
                <w:szCs w:val="22"/>
              </w:rPr>
              <w:t>suppliers</w:t>
            </w:r>
            <w:r w:rsidR="00241C77" w:rsidRPr="00021548">
              <w:rPr>
                <w:rFonts w:cs="Arial"/>
                <w:szCs w:val="22"/>
              </w:rPr>
              <w:t xml:space="preserve"> </w:t>
            </w:r>
            <w:r w:rsidRPr="00021548">
              <w:rPr>
                <w:rFonts w:cs="Arial"/>
                <w:szCs w:val="22"/>
              </w:rPr>
              <w:t>working on Southeastern sites have appropriate contractual health and safety documentation</w:t>
            </w:r>
            <w:r w:rsidR="00784DC5">
              <w:rPr>
                <w:rFonts w:cs="Arial"/>
                <w:szCs w:val="22"/>
              </w:rPr>
              <w:t xml:space="preserve"> which is actively monitored</w:t>
            </w:r>
            <w:r w:rsidRPr="00021548">
              <w:rPr>
                <w:rFonts w:cs="Arial"/>
                <w:szCs w:val="22"/>
              </w:rPr>
              <w:t>.</w:t>
            </w:r>
          </w:p>
          <w:p w14:paraId="0FBBAC61" w14:textId="77777777" w:rsidR="00302B4D" w:rsidRDefault="00302B4D" w:rsidP="007322EE">
            <w:pPr>
              <w:jc w:val="both"/>
              <w:rPr>
                <w:rFonts w:cs="Arial"/>
                <w:szCs w:val="22"/>
              </w:rPr>
            </w:pPr>
          </w:p>
          <w:p w14:paraId="5092B547" w14:textId="71EE2729" w:rsidR="00302B4D" w:rsidRDefault="000718D6" w:rsidP="007322E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</w:t>
            </w:r>
            <w:r w:rsidR="00F9771E">
              <w:rPr>
                <w:rFonts w:cs="Arial"/>
                <w:szCs w:val="22"/>
              </w:rPr>
              <w:t xml:space="preserve">ing </w:t>
            </w:r>
            <w:r w:rsidR="00772E3D">
              <w:rPr>
                <w:rFonts w:cs="Arial"/>
                <w:szCs w:val="22"/>
              </w:rPr>
              <w:t>the contracts in life</w:t>
            </w:r>
            <w:r w:rsidR="004678A7">
              <w:rPr>
                <w:rFonts w:cs="Arial"/>
                <w:szCs w:val="22"/>
              </w:rPr>
              <w:t>, monitoring and reporting th</w:t>
            </w:r>
            <w:r w:rsidR="00990B31">
              <w:rPr>
                <w:rFonts w:cs="Arial"/>
                <w:szCs w:val="22"/>
              </w:rPr>
              <w:t>at the</w:t>
            </w:r>
            <w:r w:rsidR="00ED0C7D">
              <w:rPr>
                <w:rFonts w:cs="Arial"/>
                <w:szCs w:val="22"/>
              </w:rPr>
              <w:t xml:space="preserve"> supplier is delivering their Service Level </w:t>
            </w:r>
            <w:r w:rsidR="0074689F">
              <w:rPr>
                <w:rFonts w:cs="Arial"/>
                <w:szCs w:val="22"/>
              </w:rPr>
              <w:t>Agreements</w:t>
            </w:r>
            <w:r w:rsidR="00C06B63">
              <w:rPr>
                <w:rFonts w:cs="Arial"/>
                <w:szCs w:val="22"/>
              </w:rPr>
              <w:t>.</w:t>
            </w:r>
            <w:r w:rsidR="006619F5">
              <w:rPr>
                <w:rFonts w:cs="Arial"/>
                <w:szCs w:val="22"/>
              </w:rPr>
              <w:t xml:space="preserve">  Organise and manage regular service review</w:t>
            </w:r>
            <w:r w:rsidR="00D174DB">
              <w:rPr>
                <w:rFonts w:cs="Arial"/>
                <w:szCs w:val="22"/>
              </w:rPr>
              <w:t>s and follow up actions to ensure timely close out.</w:t>
            </w:r>
          </w:p>
          <w:p w14:paraId="0BCAAD03" w14:textId="77777777" w:rsidR="00C06B63" w:rsidRDefault="00C06B63" w:rsidP="007322EE">
            <w:pPr>
              <w:jc w:val="both"/>
              <w:rPr>
                <w:rFonts w:cs="Arial"/>
                <w:szCs w:val="22"/>
              </w:rPr>
            </w:pPr>
          </w:p>
          <w:p w14:paraId="2FEE8BA0" w14:textId="77777777" w:rsidR="00C06B63" w:rsidRDefault="00C06B63" w:rsidP="007322E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Be the point of escalation </w:t>
            </w:r>
            <w:r w:rsidR="00596FAA">
              <w:rPr>
                <w:rFonts w:cs="Arial"/>
                <w:szCs w:val="22"/>
              </w:rPr>
              <w:t xml:space="preserve">to resolve any issues related </w:t>
            </w:r>
            <w:r w:rsidR="00785907">
              <w:rPr>
                <w:rFonts w:cs="Arial"/>
                <w:szCs w:val="22"/>
              </w:rPr>
              <w:t>to the Supplier and the service provided by the Supplier.</w:t>
            </w:r>
            <w:r w:rsidR="0011749E">
              <w:rPr>
                <w:rFonts w:cs="Arial"/>
                <w:szCs w:val="22"/>
              </w:rPr>
              <w:t xml:space="preserve">  Liaise with relevant </w:t>
            </w:r>
            <w:r w:rsidR="005112D2">
              <w:rPr>
                <w:rFonts w:cs="Arial"/>
                <w:szCs w:val="22"/>
              </w:rPr>
              <w:t xml:space="preserve">Southeastern departments </w:t>
            </w:r>
            <w:r w:rsidR="009C33DA">
              <w:rPr>
                <w:rFonts w:cs="Arial"/>
                <w:szCs w:val="22"/>
              </w:rPr>
              <w:t xml:space="preserve">and industry bodies </w:t>
            </w:r>
            <w:r w:rsidR="005112D2">
              <w:rPr>
                <w:rFonts w:cs="Arial"/>
                <w:szCs w:val="22"/>
              </w:rPr>
              <w:t xml:space="preserve">to </w:t>
            </w:r>
            <w:r w:rsidR="00E44E16">
              <w:rPr>
                <w:rFonts w:cs="Arial"/>
                <w:szCs w:val="22"/>
              </w:rPr>
              <w:t xml:space="preserve">ensure </w:t>
            </w:r>
            <w:r w:rsidR="00597ECD">
              <w:rPr>
                <w:rFonts w:cs="Arial"/>
                <w:szCs w:val="22"/>
              </w:rPr>
              <w:t>smooth day to day operation.</w:t>
            </w:r>
          </w:p>
          <w:p w14:paraId="60A3D85C" w14:textId="77777777" w:rsidR="00725FAD" w:rsidRDefault="00725FAD" w:rsidP="007322EE">
            <w:pPr>
              <w:jc w:val="both"/>
              <w:rPr>
                <w:rFonts w:cs="Arial"/>
                <w:szCs w:val="22"/>
              </w:rPr>
            </w:pPr>
          </w:p>
          <w:p w14:paraId="5495288F" w14:textId="77777777" w:rsidR="00725FAD" w:rsidRDefault="00725FAD" w:rsidP="007322EE">
            <w:pPr>
              <w:jc w:val="both"/>
              <w:rPr>
                <w:rFonts w:cs="Arial"/>
                <w:szCs w:val="22"/>
              </w:rPr>
            </w:pPr>
            <w:r w:rsidRPr="00725FAD">
              <w:rPr>
                <w:rFonts w:cs="Arial"/>
                <w:szCs w:val="22"/>
              </w:rPr>
              <w:t>Explore opportunities internally and with suppliers to enhance the customer offering and ensure Change/Variation Orders are raised accordingly whilst ensuring value for money for new works</w:t>
            </w:r>
            <w:r w:rsidR="00B010F1">
              <w:rPr>
                <w:rFonts w:cs="Arial"/>
                <w:szCs w:val="22"/>
              </w:rPr>
              <w:t>.</w:t>
            </w:r>
          </w:p>
          <w:p w14:paraId="6E543877" w14:textId="77777777" w:rsidR="005D59B6" w:rsidRDefault="005D59B6" w:rsidP="007322EE">
            <w:pPr>
              <w:jc w:val="both"/>
              <w:rPr>
                <w:rFonts w:cs="Arial"/>
                <w:szCs w:val="22"/>
              </w:rPr>
            </w:pPr>
          </w:p>
          <w:p w14:paraId="4EC74D7D" w14:textId="3B37B217" w:rsidR="005D59B6" w:rsidRPr="00021548" w:rsidRDefault="00EB4155" w:rsidP="007322EE">
            <w:pPr>
              <w:jc w:val="both"/>
              <w:rPr>
                <w:rFonts w:cs="Arial"/>
                <w:szCs w:val="22"/>
              </w:rPr>
            </w:pPr>
            <w:r w:rsidRPr="00EB4155">
              <w:rPr>
                <w:rFonts w:cs="Arial"/>
                <w:szCs w:val="22"/>
              </w:rPr>
              <w:t>Manage and take ownership for testing of new software releases and other associated developmental items and facilitate deployment into the field in a controlled manner to ensure system integrity.  Obtain necessary internal approvals for any rollout as directed via Southeastern change control protocols.</w:t>
            </w:r>
          </w:p>
        </w:tc>
      </w:tr>
      <w:tr w:rsidR="00D8318A" w14:paraId="3E64BF9A" w14:textId="77777777" w:rsidTr="00554F0C">
        <w:trPr>
          <w:gridAfter w:val="1"/>
          <w:wAfter w:w="108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18079328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532" w:type="dxa"/>
            <w:gridSpan w:val="8"/>
            <w:tcBorders>
              <w:top w:val="single" w:sz="4" w:space="0" w:color="auto"/>
            </w:tcBorders>
          </w:tcPr>
          <w:p w14:paraId="75A5212C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AF6854D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64813E20" w14:textId="77777777" w:rsidTr="00554F0C">
        <w:trPr>
          <w:gridAfter w:val="1"/>
          <w:wAfter w:w="108" w:type="dxa"/>
          <w:trHeight w:val="376"/>
        </w:trPr>
        <w:tc>
          <w:tcPr>
            <w:tcW w:w="709" w:type="dxa"/>
          </w:tcPr>
          <w:p w14:paraId="3A174E9D" w14:textId="77777777" w:rsidR="00251073" w:rsidRDefault="00251073" w:rsidP="008C1C4E">
            <w:r>
              <w:t>D1</w:t>
            </w:r>
          </w:p>
          <w:p w14:paraId="2B2FA472" w14:textId="77777777" w:rsidR="00251073" w:rsidRDefault="00251073" w:rsidP="008C1C4E"/>
        </w:tc>
        <w:tc>
          <w:tcPr>
            <w:tcW w:w="6379" w:type="dxa"/>
            <w:gridSpan w:val="3"/>
          </w:tcPr>
          <w:p w14:paraId="5DC460D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C4C1A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C19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24DC6CE" w14:textId="77777777" w:rsidR="00251073" w:rsidRDefault="00251073" w:rsidP="008C1C4E">
            <w:r>
              <w:t>No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764" w14:textId="77777777" w:rsidR="00251073" w:rsidRDefault="00506554" w:rsidP="008C1C4E">
            <w:r>
              <w:t>x</w:t>
            </w:r>
          </w:p>
        </w:tc>
      </w:tr>
      <w:tr w:rsidR="00251073" w14:paraId="542CCE8E" w14:textId="77777777" w:rsidTr="00554F0C">
        <w:trPr>
          <w:gridAfter w:val="1"/>
          <w:wAfter w:w="108" w:type="dxa"/>
        </w:trPr>
        <w:tc>
          <w:tcPr>
            <w:tcW w:w="709" w:type="dxa"/>
          </w:tcPr>
          <w:p w14:paraId="4D3939B3" w14:textId="77777777" w:rsidR="00251073" w:rsidRDefault="00251073" w:rsidP="008C1C4E">
            <w:r>
              <w:t>D2</w:t>
            </w:r>
          </w:p>
          <w:p w14:paraId="27676D55" w14:textId="77777777" w:rsidR="00251073" w:rsidRDefault="00251073" w:rsidP="008C1C4E"/>
        </w:tc>
        <w:tc>
          <w:tcPr>
            <w:tcW w:w="6379" w:type="dxa"/>
            <w:gridSpan w:val="3"/>
          </w:tcPr>
          <w:p w14:paraId="45DA1F8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89373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3F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FC3E65" w14:textId="77777777" w:rsidR="00251073" w:rsidRDefault="00251073" w:rsidP="008C1C4E">
            <w:r>
              <w:t>No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436" w14:textId="77777777" w:rsidR="00251073" w:rsidRDefault="00506554" w:rsidP="008C1C4E">
            <w:r>
              <w:t>x</w:t>
            </w:r>
          </w:p>
        </w:tc>
      </w:tr>
      <w:tr w:rsidR="00251073" w14:paraId="4FA66ADE" w14:textId="77777777" w:rsidTr="00554F0C">
        <w:trPr>
          <w:gridAfter w:val="1"/>
          <w:wAfter w:w="108" w:type="dxa"/>
        </w:trPr>
        <w:tc>
          <w:tcPr>
            <w:tcW w:w="709" w:type="dxa"/>
          </w:tcPr>
          <w:p w14:paraId="55FD1000" w14:textId="77777777" w:rsidR="00251073" w:rsidRDefault="00251073" w:rsidP="008C1C4E">
            <w:r>
              <w:t>D3</w:t>
            </w:r>
          </w:p>
          <w:p w14:paraId="685BB7D9" w14:textId="77777777" w:rsidR="00251073" w:rsidRDefault="00251073" w:rsidP="008C1C4E"/>
        </w:tc>
        <w:tc>
          <w:tcPr>
            <w:tcW w:w="6379" w:type="dxa"/>
            <w:gridSpan w:val="3"/>
          </w:tcPr>
          <w:p w14:paraId="21A8F698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8FB3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AB7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A5CCA3A" w14:textId="77777777" w:rsidR="00251073" w:rsidRDefault="00251073" w:rsidP="008C1C4E">
            <w:r>
              <w:t>No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4B4" w14:textId="77777777" w:rsidR="00251073" w:rsidRDefault="00506554" w:rsidP="008C1C4E">
            <w:r>
              <w:t>x</w:t>
            </w:r>
          </w:p>
        </w:tc>
      </w:tr>
      <w:tr w:rsidR="00251073" w14:paraId="5EF86BE3" w14:textId="77777777" w:rsidTr="00554F0C">
        <w:trPr>
          <w:gridAfter w:val="1"/>
          <w:wAfter w:w="108" w:type="dxa"/>
          <w:trHeight w:val="347"/>
        </w:trPr>
        <w:tc>
          <w:tcPr>
            <w:tcW w:w="709" w:type="dxa"/>
          </w:tcPr>
          <w:p w14:paraId="3E5E9972" w14:textId="77777777" w:rsidR="00251073" w:rsidRDefault="00251073" w:rsidP="008C1C4E">
            <w:r>
              <w:t>D4</w:t>
            </w:r>
          </w:p>
        </w:tc>
        <w:tc>
          <w:tcPr>
            <w:tcW w:w="6379" w:type="dxa"/>
            <w:gridSpan w:val="3"/>
          </w:tcPr>
          <w:p w14:paraId="4E31793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B04F64B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86992F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1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3BC385" w14:textId="77777777" w:rsidR="00251073" w:rsidRDefault="00251073" w:rsidP="008C1C4E">
            <w:r>
              <w:t>No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5EE" w14:textId="77777777" w:rsidR="00251073" w:rsidRDefault="00506554" w:rsidP="008C1C4E">
            <w:r>
              <w:t>x</w:t>
            </w:r>
          </w:p>
        </w:tc>
      </w:tr>
      <w:tr w:rsidR="00251073" w14:paraId="41278E0A" w14:textId="77777777" w:rsidTr="00554F0C">
        <w:trPr>
          <w:gridAfter w:val="1"/>
          <w:wAfter w:w="108" w:type="dxa"/>
          <w:trHeight w:val="525"/>
        </w:trPr>
        <w:tc>
          <w:tcPr>
            <w:tcW w:w="709" w:type="dxa"/>
          </w:tcPr>
          <w:p w14:paraId="7B4FCA30" w14:textId="77777777" w:rsidR="00251073" w:rsidRDefault="00251073" w:rsidP="008C1C4E">
            <w:r>
              <w:lastRenderedPageBreak/>
              <w:t>D5</w:t>
            </w:r>
          </w:p>
        </w:tc>
        <w:tc>
          <w:tcPr>
            <w:tcW w:w="6379" w:type="dxa"/>
            <w:gridSpan w:val="3"/>
          </w:tcPr>
          <w:p w14:paraId="3F0C94C4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B3EA7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0BD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2F5C4A0" w14:textId="77777777" w:rsidR="00251073" w:rsidRDefault="00251073" w:rsidP="008C1C4E">
            <w:r>
              <w:t>No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29B" w14:textId="77777777" w:rsidR="00251073" w:rsidRDefault="00506554" w:rsidP="008C1C4E">
            <w:r>
              <w:t>x</w:t>
            </w:r>
          </w:p>
        </w:tc>
      </w:tr>
      <w:tr w:rsidR="00251073" w14:paraId="6BBBA6BF" w14:textId="77777777" w:rsidTr="00554F0C">
        <w:trPr>
          <w:gridAfter w:val="1"/>
          <w:wAfter w:w="108" w:type="dxa"/>
        </w:trPr>
        <w:tc>
          <w:tcPr>
            <w:tcW w:w="709" w:type="dxa"/>
          </w:tcPr>
          <w:p w14:paraId="2580E549" w14:textId="77777777" w:rsidR="00251073" w:rsidRDefault="00251073" w:rsidP="008C1C4E">
            <w:pPr>
              <w:pStyle w:val="Heading3"/>
            </w:pPr>
          </w:p>
        </w:tc>
        <w:tc>
          <w:tcPr>
            <w:tcW w:w="9532" w:type="dxa"/>
            <w:gridSpan w:val="8"/>
          </w:tcPr>
          <w:p w14:paraId="5CE8D8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C80F8BF" w14:textId="77777777" w:rsidTr="00554F0C">
        <w:trPr>
          <w:gridAfter w:val="1"/>
          <w:wAfter w:w="108" w:type="dxa"/>
        </w:trPr>
        <w:tc>
          <w:tcPr>
            <w:tcW w:w="709" w:type="dxa"/>
          </w:tcPr>
          <w:p w14:paraId="18F8D564" w14:textId="77777777" w:rsidR="00251073" w:rsidRDefault="00251073" w:rsidP="005576E8">
            <w:r>
              <w:t>D6</w:t>
            </w:r>
          </w:p>
        </w:tc>
        <w:tc>
          <w:tcPr>
            <w:tcW w:w="9532" w:type="dxa"/>
            <w:gridSpan w:val="8"/>
          </w:tcPr>
          <w:p w14:paraId="1D1F154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44E66304" w14:textId="77777777" w:rsidTr="00554F0C">
        <w:trPr>
          <w:gridAfter w:val="1"/>
          <w:wAfter w:w="108" w:type="dxa"/>
        </w:trPr>
        <w:tc>
          <w:tcPr>
            <w:tcW w:w="709" w:type="dxa"/>
          </w:tcPr>
          <w:p w14:paraId="0AD3A60F" w14:textId="77777777" w:rsidR="00E66B02" w:rsidRDefault="00E66B02" w:rsidP="005576E8"/>
        </w:tc>
        <w:tc>
          <w:tcPr>
            <w:tcW w:w="9532" w:type="dxa"/>
            <w:gridSpan w:val="8"/>
          </w:tcPr>
          <w:p w14:paraId="74964BC9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7725220" w14:textId="77777777" w:rsidTr="00554F0C">
        <w:trPr>
          <w:gridAfter w:val="1"/>
          <w:wAfter w:w="108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55717A2D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532" w:type="dxa"/>
            <w:gridSpan w:val="8"/>
            <w:tcBorders>
              <w:top w:val="single" w:sz="4" w:space="0" w:color="auto"/>
            </w:tcBorders>
          </w:tcPr>
          <w:p w14:paraId="7D68F57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E9F1195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7DCAC2BB" w14:textId="77777777" w:rsidTr="00554F0C">
        <w:trPr>
          <w:gridAfter w:val="1"/>
          <w:wAfter w:w="108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57D06" w14:textId="77777777" w:rsidR="00D84FEC" w:rsidRDefault="00D8318A">
            <w:r>
              <w:t>E</w:t>
            </w:r>
            <w:r w:rsidR="00D84FEC">
              <w:t>1</w:t>
            </w:r>
          </w:p>
          <w:p w14:paraId="6E5A427E" w14:textId="77777777" w:rsidR="00ED3D10" w:rsidRDefault="00ED3D10"/>
          <w:p w14:paraId="17B5CA98" w14:textId="77777777" w:rsidR="00ED3D10" w:rsidRDefault="00ED3D10"/>
          <w:p w14:paraId="043C1911" w14:textId="77777777" w:rsidR="00B55F77" w:rsidRDefault="00B55F77"/>
          <w:p w14:paraId="3429F592" w14:textId="11E11DAC" w:rsidR="00D84FEC" w:rsidRDefault="00ED3D10">
            <w:r>
              <w:t>E</w:t>
            </w:r>
            <w:r w:rsidR="009232E3">
              <w:t>2</w:t>
            </w:r>
          </w:p>
          <w:p w14:paraId="2DBA0EA3" w14:textId="77777777" w:rsidR="00D84FEC" w:rsidRDefault="00D84FEC"/>
          <w:p w14:paraId="18024B58" w14:textId="77777777" w:rsidR="00D61DC9" w:rsidRDefault="00D61DC9">
            <w:r>
              <w:t>E3</w:t>
            </w:r>
          </w:p>
          <w:p w14:paraId="278C1080" w14:textId="77777777" w:rsidR="00241C77" w:rsidRDefault="00241C77"/>
          <w:p w14:paraId="2D21F17C" w14:textId="77777777" w:rsidR="00241C77" w:rsidRDefault="00241C77">
            <w:r>
              <w:t>E4</w:t>
            </w:r>
          </w:p>
          <w:p w14:paraId="09F7BB38" w14:textId="77777777" w:rsidR="00241C77" w:rsidRDefault="00241C77"/>
          <w:p w14:paraId="48BEBF66" w14:textId="0F51DE97" w:rsidR="00241C77" w:rsidRDefault="00241C77"/>
        </w:tc>
        <w:tc>
          <w:tcPr>
            <w:tcW w:w="9532" w:type="dxa"/>
            <w:gridSpan w:val="8"/>
            <w:tcBorders>
              <w:bottom w:val="single" w:sz="4" w:space="0" w:color="auto"/>
            </w:tcBorders>
          </w:tcPr>
          <w:p w14:paraId="58C19255" w14:textId="1FC89FF4" w:rsidR="00AA31C7" w:rsidRDefault="00AA31C7" w:rsidP="00AA31C7">
            <w:pPr>
              <w:rPr>
                <w:bCs/>
              </w:rPr>
            </w:pPr>
            <w:r w:rsidRPr="00D54FF9">
              <w:rPr>
                <w:bCs/>
              </w:rPr>
              <w:t>Recommend</w:t>
            </w:r>
            <w:r w:rsidR="00D54FF9" w:rsidRPr="00D54FF9">
              <w:rPr>
                <w:bCs/>
              </w:rPr>
              <w:t>ation of Southeastern</w:t>
            </w:r>
            <w:r w:rsidRPr="00D54FF9">
              <w:rPr>
                <w:bCs/>
              </w:rPr>
              <w:t xml:space="preserve"> </w:t>
            </w:r>
            <w:r w:rsidR="00677D91">
              <w:rPr>
                <w:bCs/>
              </w:rPr>
              <w:t xml:space="preserve">contract </w:t>
            </w:r>
            <w:r w:rsidR="00D54FF9">
              <w:rPr>
                <w:bCs/>
              </w:rPr>
              <w:t xml:space="preserve">strategies and </w:t>
            </w:r>
            <w:r w:rsidRPr="00D54FF9">
              <w:rPr>
                <w:bCs/>
              </w:rPr>
              <w:t xml:space="preserve">contract </w:t>
            </w:r>
            <w:r w:rsidR="00677D91">
              <w:rPr>
                <w:bCs/>
              </w:rPr>
              <w:t>amendments</w:t>
            </w:r>
            <w:r w:rsidR="00D54FF9" w:rsidRPr="00D54FF9">
              <w:rPr>
                <w:bCs/>
              </w:rPr>
              <w:t xml:space="preserve"> </w:t>
            </w:r>
            <w:r w:rsidRPr="00D54FF9">
              <w:rPr>
                <w:bCs/>
              </w:rPr>
              <w:t xml:space="preserve">to </w:t>
            </w:r>
            <w:r w:rsidR="00580CF4" w:rsidRPr="00D54FF9">
              <w:rPr>
                <w:bCs/>
              </w:rPr>
              <w:t xml:space="preserve">the </w:t>
            </w:r>
            <w:r w:rsidR="00B55F77">
              <w:rPr>
                <w:bCs/>
              </w:rPr>
              <w:t>Head of Retail Operations</w:t>
            </w:r>
            <w:r w:rsidR="00677D91">
              <w:rPr>
                <w:bCs/>
              </w:rPr>
              <w:t xml:space="preserve">, </w:t>
            </w:r>
            <w:r w:rsidR="00B55F77">
              <w:rPr>
                <w:bCs/>
              </w:rPr>
              <w:t>Commercial</w:t>
            </w:r>
            <w:r w:rsidR="00B55F77" w:rsidRPr="00D54FF9">
              <w:rPr>
                <w:bCs/>
              </w:rPr>
              <w:t xml:space="preserve"> Director</w:t>
            </w:r>
            <w:r w:rsidR="00B55F77">
              <w:rPr>
                <w:bCs/>
              </w:rPr>
              <w:t xml:space="preserve">, </w:t>
            </w:r>
            <w:r w:rsidR="00677D91">
              <w:rPr>
                <w:bCs/>
              </w:rPr>
              <w:t>Head of Procurement</w:t>
            </w:r>
            <w:r w:rsidR="00D54FF9" w:rsidRPr="00D54FF9">
              <w:rPr>
                <w:bCs/>
              </w:rPr>
              <w:t xml:space="preserve"> and </w:t>
            </w:r>
            <w:r w:rsidRPr="00D54FF9">
              <w:rPr>
                <w:bCs/>
              </w:rPr>
              <w:t>Finance &amp; Contracts Director</w:t>
            </w:r>
            <w:r w:rsidR="00580CF4" w:rsidRPr="00D54FF9">
              <w:rPr>
                <w:bCs/>
              </w:rPr>
              <w:t xml:space="preserve"> for final approval</w:t>
            </w:r>
            <w:r w:rsidR="00D54FF9">
              <w:rPr>
                <w:bCs/>
              </w:rPr>
              <w:t>.</w:t>
            </w:r>
          </w:p>
          <w:p w14:paraId="7EC5B57A" w14:textId="77777777" w:rsidR="00677D91" w:rsidRDefault="00677D91">
            <w:pPr>
              <w:rPr>
                <w:bCs/>
              </w:rPr>
            </w:pPr>
          </w:p>
          <w:p w14:paraId="2FA4BCC8" w14:textId="05CC0418" w:rsidR="00D84FEC" w:rsidRDefault="00D54FF9">
            <w:pPr>
              <w:rPr>
                <w:bCs/>
              </w:rPr>
            </w:pPr>
            <w:r>
              <w:rPr>
                <w:bCs/>
              </w:rPr>
              <w:t>Negotiating with suppliers on behalf of Southeastern</w:t>
            </w:r>
            <w:r w:rsidR="009F52E7">
              <w:rPr>
                <w:bCs/>
              </w:rPr>
              <w:t xml:space="preserve"> up to unlimited values.</w:t>
            </w:r>
          </w:p>
          <w:p w14:paraId="479BE163" w14:textId="77777777" w:rsidR="00B55F77" w:rsidRDefault="00B55F77">
            <w:pPr>
              <w:rPr>
                <w:bCs/>
              </w:rPr>
            </w:pPr>
          </w:p>
          <w:p w14:paraId="1A7E0EA8" w14:textId="32D355CC" w:rsidR="002C62F5" w:rsidRDefault="002C62F5">
            <w:pPr>
              <w:rPr>
                <w:bCs/>
              </w:rPr>
            </w:pPr>
            <w:r w:rsidRPr="002C62F5">
              <w:rPr>
                <w:bCs/>
              </w:rPr>
              <w:t>Respect corporate governance protocols, ensuring that permissions are sought at a level appropriate to the respective contractual/financial impact of a decision/agreement</w:t>
            </w:r>
          </w:p>
          <w:p w14:paraId="68BEF062" w14:textId="77777777" w:rsidR="002C62F5" w:rsidRDefault="002C62F5">
            <w:pPr>
              <w:rPr>
                <w:bCs/>
              </w:rPr>
            </w:pPr>
          </w:p>
          <w:p w14:paraId="46246886" w14:textId="0187F5F0" w:rsidR="00B55F77" w:rsidRPr="009232E3" w:rsidRDefault="00051B55">
            <w:pPr>
              <w:rPr>
                <w:bCs/>
              </w:rPr>
            </w:pPr>
            <w:r w:rsidRPr="00051B55">
              <w:rPr>
                <w:bCs/>
              </w:rPr>
              <w:t>Give expert advice to the Head of Retail Operations</w:t>
            </w:r>
            <w:r>
              <w:rPr>
                <w:bCs/>
              </w:rPr>
              <w:t xml:space="preserve"> </w:t>
            </w:r>
            <w:r w:rsidRPr="00051B55">
              <w:rPr>
                <w:bCs/>
              </w:rPr>
              <w:t>with the formal evaluation of tender responses in line with business requirements and recommendation of a preferred contractor</w:t>
            </w:r>
          </w:p>
        </w:tc>
      </w:tr>
    </w:tbl>
    <w:p w14:paraId="5A2B78F8" w14:textId="77777777" w:rsidR="00745F30" w:rsidRDefault="00745F30"/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87"/>
        <w:gridCol w:w="2778"/>
        <w:gridCol w:w="1868"/>
        <w:gridCol w:w="1245"/>
        <w:gridCol w:w="747"/>
        <w:gridCol w:w="2718"/>
        <w:gridCol w:w="22"/>
      </w:tblGrid>
      <w:tr w:rsidR="00D84FEC" w14:paraId="388E3259" w14:textId="77777777" w:rsidTr="000A0ADD">
        <w:trPr>
          <w:gridAfter w:val="1"/>
          <w:wAfter w:w="22" w:type="dxa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0CCA8E5" w14:textId="1FB9B78C" w:rsidR="00D84FEC" w:rsidRDefault="00677D91" w:rsidP="00675DE1">
            <w:pPr>
              <w:pStyle w:val="Heading3"/>
              <w:keepNext w:val="0"/>
              <w:spacing w:before="120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6783B1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D80FD9C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9E3341" w14:paraId="756BF721" w14:textId="77777777" w:rsidTr="000A0ADD">
        <w:trPr>
          <w:gridAfter w:val="1"/>
          <w:wAfter w:w="22" w:type="dxa"/>
        </w:trPr>
        <w:tc>
          <w:tcPr>
            <w:tcW w:w="709" w:type="dxa"/>
            <w:gridSpan w:val="2"/>
          </w:tcPr>
          <w:p w14:paraId="422E50A8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05D90C16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2B14D4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16EF94B6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0028C8D6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7AD6E7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374ACD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E16BC5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945584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459B9C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38AA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5E0E6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FE764E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B17F7C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1891D5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436F4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B50F202" w14:textId="77777777" w:rsidR="009E3341" w:rsidRDefault="009E3341" w:rsidP="00DD771F"/>
          <w:p w14:paraId="5B610B52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34FC2567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lastRenderedPageBreak/>
              <w:drawing>
                <wp:inline distT="0" distB="0" distL="0" distR="0" wp14:anchorId="58353A8A" wp14:editId="0D13B241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3A760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00A8E83E" w14:textId="77777777" w:rsidR="009E3341" w:rsidRDefault="009E3341" w:rsidP="00DD771F"/>
          <w:p w14:paraId="6AE2483F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05FA7BCC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2474DE39" w14:textId="77777777" w:rsidTr="000A0ADD">
        <w:trPr>
          <w:gridAfter w:val="1"/>
          <w:wAfter w:w="22" w:type="dxa"/>
        </w:trPr>
        <w:tc>
          <w:tcPr>
            <w:tcW w:w="709" w:type="dxa"/>
            <w:gridSpan w:val="2"/>
          </w:tcPr>
          <w:p w14:paraId="49F4ABC4" w14:textId="3926CD23" w:rsidR="009E3341" w:rsidRDefault="0073612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F1</w:t>
            </w:r>
          </w:p>
        </w:tc>
        <w:tc>
          <w:tcPr>
            <w:tcW w:w="9356" w:type="dxa"/>
            <w:gridSpan w:val="5"/>
          </w:tcPr>
          <w:p w14:paraId="4A6E64EE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774A889E" w14:textId="77777777" w:rsidR="00886DE0" w:rsidRDefault="00886DE0">
            <w:pPr>
              <w:rPr>
                <w:bCs/>
              </w:rPr>
            </w:pPr>
          </w:p>
          <w:p w14:paraId="1B7FA568" w14:textId="535D6ABC" w:rsidR="00D54FF9" w:rsidRPr="00EA3BBD" w:rsidRDefault="002E561F" w:rsidP="00EA3B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86DE0">
              <w:rPr>
                <w:rFonts w:ascii="Arial" w:hAnsi="Arial" w:cs="Arial"/>
                <w:bCs/>
                <w:sz w:val="22"/>
                <w:szCs w:val="22"/>
              </w:rPr>
              <w:t>Good stakeholder management skills and experience</w:t>
            </w:r>
          </w:p>
          <w:p w14:paraId="27788BB9" w14:textId="541EF7BC" w:rsidR="00474971" w:rsidRDefault="007B2441" w:rsidP="00886DE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Knowledge and experience of working with </w:t>
            </w:r>
            <w:r w:rsidR="00DD3F1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7752B7">
              <w:rPr>
                <w:rFonts w:ascii="Arial" w:hAnsi="Arial" w:cs="Arial"/>
                <w:bCs/>
                <w:sz w:val="22"/>
                <w:szCs w:val="22"/>
              </w:rPr>
              <w:t>etail</w:t>
            </w:r>
            <w:r w:rsidR="00DD3F12">
              <w:rPr>
                <w:rFonts w:ascii="Arial" w:hAnsi="Arial" w:cs="Arial"/>
                <w:bCs/>
                <w:sz w:val="22"/>
                <w:szCs w:val="22"/>
              </w:rPr>
              <w:t xml:space="preserve"> and or EPOS systems</w:t>
            </w:r>
            <w:r w:rsidR="007752B7">
              <w:rPr>
                <w:rFonts w:ascii="Arial" w:hAnsi="Arial" w:cs="Arial"/>
                <w:bCs/>
                <w:sz w:val="22"/>
                <w:szCs w:val="22"/>
              </w:rPr>
              <w:t xml:space="preserve"> contracts in a Railway </w:t>
            </w:r>
            <w:r w:rsidR="00241C77">
              <w:rPr>
                <w:rFonts w:ascii="Arial" w:hAnsi="Arial" w:cs="Arial"/>
                <w:bCs/>
                <w:sz w:val="22"/>
                <w:szCs w:val="22"/>
              </w:rPr>
              <w:t xml:space="preserve">or equivalent </w:t>
            </w:r>
            <w:r w:rsidR="007752B7">
              <w:rPr>
                <w:rFonts w:ascii="Arial" w:hAnsi="Arial" w:cs="Arial"/>
                <w:bCs/>
                <w:sz w:val="22"/>
                <w:szCs w:val="22"/>
              </w:rPr>
              <w:t xml:space="preserve">environment is </w:t>
            </w:r>
            <w:r w:rsidR="00474971">
              <w:rPr>
                <w:rFonts w:ascii="Arial" w:hAnsi="Arial" w:cs="Arial"/>
                <w:bCs/>
                <w:sz w:val="22"/>
                <w:szCs w:val="22"/>
              </w:rPr>
              <w:t xml:space="preserve">desirable </w:t>
            </w:r>
          </w:p>
          <w:p w14:paraId="4982983B" w14:textId="1D3623D1" w:rsidR="006B7930" w:rsidRDefault="00056635" w:rsidP="00886DE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56635">
              <w:rPr>
                <w:rFonts w:ascii="Arial" w:hAnsi="Arial" w:cs="Arial"/>
                <w:bCs/>
                <w:sz w:val="22"/>
                <w:szCs w:val="22"/>
              </w:rPr>
              <w:t>Experience of preparing and managing large budgets with good numer</w:t>
            </w:r>
            <w:r w:rsidR="00DD3F12">
              <w:rPr>
                <w:rFonts w:ascii="Arial" w:hAnsi="Arial" w:cs="Arial"/>
                <w:bCs/>
                <w:sz w:val="22"/>
                <w:szCs w:val="22"/>
              </w:rPr>
              <w:t xml:space="preserve">acy and </w:t>
            </w:r>
            <w:r w:rsidRPr="00056635">
              <w:rPr>
                <w:rFonts w:ascii="Arial" w:hAnsi="Arial" w:cs="Arial"/>
                <w:bCs/>
                <w:sz w:val="22"/>
                <w:szCs w:val="22"/>
              </w:rPr>
              <w:t>analytical skills</w:t>
            </w:r>
            <w:r w:rsidR="00DD3F12">
              <w:rPr>
                <w:rFonts w:ascii="Arial" w:hAnsi="Arial" w:cs="Arial"/>
                <w:bCs/>
                <w:sz w:val="22"/>
                <w:szCs w:val="22"/>
              </w:rPr>
              <w:t xml:space="preserve"> - Essential</w:t>
            </w:r>
          </w:p>
          <w:p w14:paraId="308A5D2F" w14:textId="08E18698" w:rsidR="00573EEC" w:rsidRDefault="00865903" w:rsidP="00886DE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in</w:t>
            </w:r>
            <w:r w:rsidR="00735889">
              <w:rPr>
                <w:rFonts w:ascii="Arial" w:hAnsi="Arial" w:cs="Arial"/>
                <w:bCs/>
                <w:sz w:val="22"/>
                <w:szCs w:val="22"/>
              </w:rPr>
              <w:t xml:space="preserve"> writ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9A7CD8">
              <w:rPr>
                <w:rFonts w:ascii="Arial" w:hAnsi="Arial" w:cs="Arial"/>
                <w:bCs/>
                <w:sz w:val="22"/>
                <w:szCs w:val="22"/>
              </w:rPr>
              <w:t>, build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735889">
              <w:rPr>
                <w:rFonts w:ascii="Arial" w:hAnsi="Arial" w:cs="Arial"/>
                <w:bCs/>
                <w:sz w:val="22"/>
                <w:szCs w:val="22"/>
              </w:rPr>
              <w:t xml:space="preserve"> and support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735889">
              <w:rPr>
                <w:rFonts w:ascii="Arial" w:hAnsi="Arial" w:cs="Arial"/>
                <w:bCs/>
                <w:sz w:val="22"/>
                <w:szCs w:val="22"/>
              </w:rPr>
              <w:t xml:space="preserve"> business case submissions.</w:t>
            </w:r>
          </w:p>
          <w:p w14:paraId="690103B1" w14:textId="04DC4BF7" w:rsidR="00116C0C" w:rsidRDefault="00116C0C" w:rsidP="00886DE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in </w:t>
            </w:r>
            <w:r w:rsidR="00A12D18">
              <w:rPr>
                <w:rFonts w:ascii="Arial" w:hAnsi="Arial" w:cs="Arial"/>
                <w:bCs/>
                <w:sz w:val="22"/>
                <w:szCs w:val="22"/>
              </w:rPr>
              <w:t xml:space="preserve">evaluating </w:t>
            </w:r>
            <w:r w:rsidR="006C7266">
              <w:rPr>
                <w:rFonts w:ascii="Arial" w:hAnsi="Arial" w:cs="Arial"/>
                <w:bCs/>
                <w:sz w:val="22"/>
                <w:szCs w:val="22"/>
              </w:rPr>
              <w:t>bidder</w:t>
            </w:r>
            <w:r w:rsidR="004610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726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610F8">
              <w:rPr>
                <w:rFonts w:ascii="Arial" w:hAnsi="Arial" w:cs="Arial"/>
                <w:bCs/>
                <w:sz w:val="22"/>
                <w:szCs w:val="22"/>
              </w:rPr>
              <w:t>ubmissions</w:t>
            </w:r>
            <w:r w:rsidR="006C7266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191844">
              <w:rPr>
                <w:rFonts w:ascii="Arial" w:hAnsi="Arial" w:cs="Arial"/>
                <w:bCs/>
                <w:sz w:val="22"/>
                <w:szCs w:val="22"/>
              </w:rPr>
              <w:t>a tender</w:t>
            </w:r>
            <w:r w:rsidR="004610F8">
              <w:rPr>
                <w:rFonts w:ascii="Arial" w:hAnsi="Arial" w:cs="Arial"/>
                <w:bCs/>
                <w:sz w:val="22"/>
                <w:szCs w:val="22"/>
              </w:rPr>
              <w:t xml:space="preserve"> process and </w:t>
            </w:r>
            <w:r w:rsidR="00F75B26">
              <w:rPr>
                <w:rFonts w:ascii="Arial" w:hAnsi="Arial" w:cs="Arial"/>
                <w:bCs/>
                <w:sz w:val="22"/>
                <w:szCs w:val="22"/>
              </w:rPr>
              <w:t xml:space="preserve">negotiating </w:t>
            </w:r>
            <w:r w:rsidR="00970EC3">
              <w:rPr>
                <w:rFonts w:ascii="Arial" w:hAnsi="Arial" w:cs="Arial"/>
                <w:bCs/>
                <w:sz w:val="22"/>
                <w:szCs w:val="22"/>
              </w:rPr>
              <w:t xml:space="preserve">improved value in </w:t>
            </w:r>
            <w:r w:rsidR="00571666">
              <w:rPr>
                <w:rFonts w:ascii="Arial" w:hAnsi="Arial" w:cs="Arial"/>
                <w:bCs/>
                <w:sz w:val="22"/>
                <w:szCs w:val="22"/>
              </w:rPr>
              <w:t>contract extensions</w:t>
            </w:r>
            <w:r w:rsidR="000A0ADD">
              <w:rPr>
                <w:rFonts w:ascii="Arial" w:hAnsi="Arial" w:cs="Arial"/>
                <w:bCs/>
                <w:sz w:val="22"/>
                <w:szCs w:val="22"/>
              </w:rPr>
              <w:t xml:space="preserve"> - Essential</w:t>
            </w:r>
          </w:p>
          <w:p w14:paraId="12E1ED4E" w14:textId="0E7C0FA8" w:rsidR="00F504D6" w:rsidRDefault="00F504D6" w:rsidP="00886DE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in managing </w:t>
            </w:r>
            <w:r w:rsidR="001D4D58">
              <w:rPr>
                <w:rFonts w:ascii="Arial" w:hAnsi="Arial" w:cs="Arial"/>
                <w:bCs/>
                <w:sz w:val="22"/>
                <w:szCs w:val="22"/>
              </w:rPr>
              <w:t xml:space="preserve">suppliers </w:t>
            </w:r>
            <w:r w:rsidR="00C620F7">
              <w:rPr>
                <w:rFonts w:ascii="Arial" w:hAnsi="Arial" w:cs="Arial"/>
                <w:bCs/>
                <w:sz w:val="22"/>
                <w:szCs w:val="22"/>
              </w:rPr>
              <w:t>within</w:t>
            </w:r>
            <w:r w:rsidR="001D4D58">
              <w:rPr>
                <w:rFonts w:ascii="Arial" w:hAnsi="Arial" w:cs="Arial"/>
                <w:bCs/>
                <w:sz w:val="22"/>
                <w:szCs w:val="22"/>
              </w:rPr>
              <w:t xml:space="preserve"> an in-life contract</w:t>
            </w:r>
            <w:r w:rsidR="000A0ADD">
              <w:rPr>
                <w:rFonts w:ascii="Arial" w:hAnsi="Arial" w:cs="Arial"/>
                <w:bCs/>
                <w:sz w:val="22"/>
                <w:szCs w:val="22"/>
              </w:rPr>
              <w:t xml:space="preserve"> - Essential</w:t>
            </w:r>
          </w:p>
          <w:p w14:paraId="7AFF67E5" w14:textId="25E9D6D1" w:rsidR="00EA3BBD" w:rsidRDefault="00617996" w:rsidP="00EA3B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in setting up a new supplier within a business and working with different departments, including IT, to </w:t>
            </w:r>
            <w:r w:rsidR="00375AFB">
              <w:rPr>
                <w:rFonts w:ascii="Arial" w:hAnsi="Arial" w:cs="Arial"/>
                <w:bCs/>
                <w:sz w:val="22"/>
                <w:szCs w:val="22"/>
              </w:rPr>
              <w:t xml:space="preserve">deliver </w:t>
            </w:r>
            <w:r w:rsidR="000A0ADD">
              <w:rPr>
                <w:rFonts w:ascii="Arial" w:hAnsi="Arial" w:cs="Arial"/>
                <w:bCs/>
                <w:sz w:val="22"/>
                <w:szCs w:val="22"/>
              </w:rPr>
              <w:t>the contract.</w:t>
            </w:r>
            <w:r w:rsidR="0020017C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9E1A60">
              <w:rPr>
                <w:rFonts w:ascii="Arial" w:hAnsi="Arial" w:cs="Arial"/>
                <w:bCs/>
                <w:sz w:val="22"/>
                <w:szCs w:val="22"/>
              </w:rPr>
              <w:t>Desirable</w:t>
            </w:r>
          </w:p>
          <w:p w14:paraId="0FC1D4FC" w14:textId="1297E361" w:rsidR="00617996" w:rsidRPr="00EA3BBD" w:rsidRDefault="00EA3BBD" w:rsidP="00EA3B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86DE0">
              <w:rPr>
                <w:rFonts w:ascii="Arial" w:hAnsi="Arial" w:cs="Arial"/>
                <w:bCs/>
                <w:sz w:val="22"/>
                <w:szCs w:val="22"/>
              </w:rPr>
              <w:t>Working knowledge of contract law, government legislation and Procurement Act 2023 regulations</w:t>
            </w:r>
            <w:r w:rsidR="00DD3F12">
              <w:rPr>
                <w:rFonts w:ascii="Arial" w:hAnsi="Arial" w:cs="Arial"/>
                <w:bCs/>
                <w:sz w:val="22"/>
                <w:szCs w:val="22"/>
              </w:rPr>
              <w:t>- Essential</w:t>
            </w:r>
          </w:p>
          <w:p w14:paraId="1992813E" w14:textId="77777777" w:rsidR="009E3341" w:rsidRDefault="009E3341" w:rsidP="00377E50">
            <w:pPr>
              <w:rPr>
                <w:b/>
              </w:rPr>
            </w:pPr>
          </w:p>
        </w:tc>
      </w:tr>
      <w:tr w:rsidR="009E3341" w14:paraId="05995B4B" w14:textId="77777777" w:rsidTr="000A0ADD">
        <w:trPr>
          <w:gridAfter w:val="1"/>
          <w:wAfter w:w="22" w:type="dxa"/>
        </w:trPr>
        <w:tc>
          <w:tcPr>
            <w:tcW w:w="709" w:type="dxa"/>
            <w:gridSpan w:val="2"/>
          </w:tcPr>
          <w:p w14:paraId="327DFB1D" w14:textId="1013A3AF" w:rsidR="009E3341" w:rsidRDefault="00677D9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F</w:t>
            </w:r>
            <w:r w:rsidR="009E3341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5"/>
          </w:tcPr>
          <w:p w14:paraId="2617492D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65EFB51" w14:textId="77777777" w:rsidR="009E3341" w:rsidRDefault="009E3341" w:rsidP="00BD4042">
            <w:pPr>
              <w:rPr>
                <w:bCs/>
              </w:rPr>
            </w:pPr>
          </w:p>
          <w:p w14:paraId="64DC4690" w14:textId="10CD5A11" w:rsidR="00C61124" w:rsidRPr="00571666" w:rsidRDefault="0050655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Ability to work 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 xml:space="preserve">effectively </w:t>
            </w: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at 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>management</w:t>
            </w: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 level within So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>utheastern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 xml:space="preserve">, liaising with senior managers 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 xml:space="preserve">and across </w:t>
            </w:r>
            <w:r w:rsidR="00DD3F12">
              <w:rPr>
                <w:rFonts w:ascii="Arial" w:hAnsi="Arial" w:cs="Arial"/>
                <w:bCs/>
                <w:sz w:val="22"/>
                <w:szCs w:val="22"/>
              </w:rPr>
              <w:t>directorates effectively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18BF0FB" w14:textId="77777777" w:rsidR="00C61124" w:rsidRPr="00571666" w:rsidRDefault="00C6112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Ability to express oneself confidently, honestly and effectively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A8B1E4" w14:textId="77777777" w:rsidR="00506554" w:rsidRPr="00571666" w:rsidRDefault="00AE4F6B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Proven influencing and 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>problem-solving</w:t>
            </w: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 skills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2BD301A" w14:textId="671A8CE5" w:rsidR="00C61124" w:rsidRPr="00571666" w:rsidRDefault="00C6112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Commercial a</w:t>
            </w:r>
            <w:r w:rsidR="00AE4F6B" w:rsidRPr="00571666">
              <w:rPr>
                <w:rFonts w:ascii="Arial" w:hAnsi="Arial" w:cs="Arial"/>
                <w:bCs/>
                <w:sz w:val="22"/>
                <w:szCs w:val="22"/>
              </w:rPr>
              <w:t>wareness</w:t>
            </w:r>
            <w:r w:rsidR="002E561F" w:rsidRPr="00571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EEB18BB" w14:textId="77777777" w:rsidR="00C61124" w:rsidRPr="00571666" w:rsidRDefault="002E561F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 xml:space="preserve"> IT skills including use of Microsoft suite (Excel, Word &amp; Powerpoint)</w:t>
            </w:r>
          </w:p>
          <w:p w14:paraId="0C209C20" w14:textId="2BFA8867" w:rsidR="00506554" w:rsidRPr="00571666" w:rsidRDefault="00DD3F12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Well-developed</w:t>
            </w:r>
            <w:r w:rsidR="00506554" w:rsidRPr="00571666">
              <w:rPr>
                <w:rFonts w:ascii="Arial" w:hAnsi="Arial" w:cs="Arial"/>
                <w:bCs/>
                <w:sz w:val="22"/>
                <w:szCs w:val="22"/>
              </w:rPr>
              <w:t xml:space="preserve"> report writing skills</w:t>
            </w:r>
          </w:p>
          <w:p w14:paraId="0B6F6FD5" w14:textId="3DD3E8C6" w:rsidR="00BF6123" w:rsidRPr="00571666" w:rsidRDefault="00BF6123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Able to analyse </w:t>
            </w:r>
            <w:r w:rsidR="009850D8" w:rsidRPr="00571666">
              <w:rPr>
                <w:rFonts w:ascii="Arial" w:hAnsi="Arial" w:cs="Arial"/>
                <w:bCs/>
                <w:sz w:val="22"/>
                <w:szCs w:val="22"/>
              </w:rPr>
              <w:t xml:space="preserve">data and make </w:t>
            </w:r>
            <w:r w:rsidR="00511F3A" w:rsidRPr="00571666">
              <w:rPr>
                <w:rFonts w:ascii="Arial" w:hAnsi="Arial" w:cs="Arial"/>
                <w:bCs/>
                <w:sz w:val="22"/>
                <w:szCs w:val="22"/>
              </w:rPr>
              <w:t>decisions from the information provided.</w:t>
            </w:r>
          </w:p>
          <w:p w14:paraId="5A12281A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1A6ABE42" w14:textId="77777777" w:rsidTr="000A0ADD">
        <w:trPr>
          <w:gridAfter w:val="1"/>
          <w:wAfter w:w="22" w:type="dxa"/>
        </w:trPr>
        <w:tc>
          <w:tcPr>
            <w:tcW w:w="709" w:type="dxa"/>
            <w:gridSpan w:val="2"/>
          </w:tcPr>
          <w:p w14:paraId="67500AA9" w14:textId="548F63C8" w:rsidR="009E3341" w:rsidRDefault="00377E50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F</w:t>
            </w:r>
            <w:r w:rsidR="009E3341">
              <w:rPr>
                <w:bCs/>
                <w:sz w:val="20"/>
              </w:rPr>
              <w:t>3</w:t>
            </w:r>
          </w:p>
        </w:tc>
        <w:tc>
          <w:tcPr>
            <w:tcW w:w="9356" w:type="dxa"/>
            <w:gridSpan w:val="5"/>
          </w:tcPr>
          <w:p w14:paraId="04B5DB00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4F9F4E2A" w14:textId="77777777" w:rsidR="009E3341" w:rsidRDefault="009E3341">
            <w:pPr>
              <w:rPr>
                <w:bCs/>
              </w:rPr>
            </w:pPr>
          </w:p>
          <w:p w14:paraId="2D867FD2" w14:textId="787AF6D1" w:rsidR="00506554" w:rsidRPr="00571666" w:rsidRDefault="00C6112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Professionalism</w:t>
            </w:r>
            <w:r w:rsidR="008521FD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8521FD" w:rsidRPr="008521FD">
              <w:rPr>
                <w:rFonts w:ascii="Arial" w:hAnsi="Arial" w:cs="Arial"/>
                <w:bCs/>
                <w:sz w:val="22"/>
                <w:szCs w:val="22"/>
              </w:rPr>
              <w:t>reliable, setting your own high standards, and showing that you care about every aspect of your job. Being industrious and organized, and holding yourself accountable for your thoughts, words and actions</w:t>
            </w:r>
          </w:p>
          <w:p w14:paraId="1BE2579C" w14:textId="77777777" w:rsidR="00506554" w:rsidRPr="00571666" w:rsidRDefault="0050655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Honesty and Integrity – is transparent and honest and takes full responsibility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for actions. 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onfidence and courage </w:t>
            </w:r>
            <w:r w:rsidR="00C61124" w:rsidRPr="00571666">
              <w:rPr>
                <w:rFonts w:ascii="Arial" w:hAnsi="Arial" w:cs="Arial"/>
                <w:bCs/>
                <w:sz w:val="22"/>
                <w:szCs w:val="22"/>
              </w:rPr>
              <w:t>to challenge the business and deal</w:t>
            </w:r>
            <w:r w:rsidRPr="00571666">
              <w:rPr>
                <w:rFonts w:ascii="Arial" w:hAnsi="Arial" w:cs="Arial"/>
                <w:bCs/>
                <w:sz w:val="22"/>
                <w:szCs w:val="22"/>
              </w:rPr>
              <w:t xml:space="preserve"> effectively with difficult situations.</w:t>
            </w:r>
          </w:p>
          <w:p w14:paraId="5547B79D" w14:textId="77777777" w:rsidR="00506554" w:rsidRPr="00571666" w:rsidRDefault="0050655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3B5BE7DD" w14:textId="77777777" w:rsidR="009E3341" w:rsidRPr="00571666" w:rsidRDefault="00506554" w:rsidP="005716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71666">
              <w:rPr>
                <w:rFonts w:ascii="Arial" w:hAnsi="Arial" w:cs="Arial"/>
                <w:bCs/>
                <w:sz w:val="22"/>
                <w:szCs w:val="22"/>
              </w:rPr>
              <w:t>Flexibility – successfully adapts to changing demands, conditions and scenarios.</w:t>
            </w:r>
          </w:p>
          <w:p w14:paraId="4FDADD5B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5908D469" w14:textId="77777777" w:rsidTr="000A0ADD">
        <w:trPr>
          <w:gridAfter w:val="1"/>
          <w:wAfter w:w="22" w:type="dxa"/>
          <w:trHeight w:val="245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C11A76C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1C508B9D" w14:textId="77777777" w:rsidR="009E3341" w:rsidRDefault="009E3341">
            <w:pPr>
              <w:rPr>
                <w:b/>
              </w:rPr>
            </w:pPr>
          </w:p>
        </w:tc>
      </w:tr>
      <w:tr w:rsidR="00626E01" w14:paraId="141DBAB2" w14:textId="77777777" w:rsidTr="000A0ADD">
        <w:trPr>
          <w:trHeight w:val="501"/>
        </w:trPr>
        <w:tc>
          <w:tcPr>
            <w:tcW w:w="622" w:type="dxa"/>
          </w:tcPr>
          <w:p w14:paraId="4B1F6A7A" w14:textId="363CAC57" w:rsidR="00626E01" w:rsidRDefault="00C74506" w:rsidP="00786F40">
            <w:pPr>
              <w:pStyle w:val="Heading3"/>
            </w:pPr>
            <w:r>
              <w:lastRenderedPageBreak/>
              <w:br w:type="page"/>
            </w:r>
            <w:r w:rsidR="00B47F19">
              <w:t>H</w:t>
            </w:r>
          </w:p>
        </w:tc>
        <w:tc>
          <w:tcPr>
            <w:tcW w:w="9465" w:type="dxa"/>
            <w:gridSpan w:val="7"/>
          </w:tcPr>
          <w:p w14:paraId="0F44ABF5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58857D1E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D188BC5" w14:textId="77777777" w:rsidTr="000A0ADD">
        <w:trPr>
          <w:trHeight w:val="501"/>
        </w:trPr>
        <w:tc>
          <w:tcPr>
            <w:tcW w:w="622" w:type="dxa"/>
          </w:tcPr>
          <w:p w14:paraId="53900D7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862518B" w14:textId="77777777" w:rsidR="00626E01" w:rsidRDefault="00626E01" w:rsidP="00786F40"/>
        </w:tc>
        <w:tc>
          <w:tcPr>
            <w:tcW w:w="4733" w:type="dxa"/>
            <w:gridSpan w:val="3"/>
          </w:tcPr>
          <w:p w14:paraId="4EDF393B" w14:textId="2E6E8D8B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</w:t>
            </w:r>
          </w:p>
        </w:tc>
        <w:tc>
          <w:tcPr>
            <w:tcW w:w="4732" w:type="dxa"/>
            <w:gridSpan w:val="4"/>
          </w:tcPr>
          <w:p w14:paraId="64A37050" w14:textId="77777777" w:rsidR="00626E01" w:rsidRDefault="00626E01" w:rsidP="00786F40"/>
        </w:tc>
      </w:tr>
      <w:tr w:rsidR="00626E01" w14:paraId="1D67CA0F" w14:textId="77777777" w:rsidTr="000A0ADD">
        <w:trPr>
          <w:trHeight w:val="501"/>
        </w:trPr>
        <w:tc>
          <w:tcPr>
            <w:tcW w:w="622" w:type="dxa"/>
          </w:tcPr>
          <w:p w14:paraId="61B6F52F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42E8E637" w14:textId="77777777" w:rsidR="00626E01" w:rsidRDefault="00626E01" w:rsidP="00786F40"/>
        </w:tc>
        <w:tc>
          <w:tcPr>
            <w:tcW w:w="4733" w:type="dxa"/>
            <w:gridSpan w:val="3"/>
          </w:tcPr>
          <w:p w14:paraId="7BD49329" w14:textId="5AAB4B9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n/a</w:t>
            </w:r>
          </w:p>
        </w:tc>
        <w:tc>
          <w:tcPr>
            <w:tcW w:w="4732" w:type="dxa"/>
            <w:gridSpan w:val="4"/>
          </w:tcPr>
          <w:p w14:paraId="251E7B2A" w14:textId="77777777" w:rsidR="00626E01" w:rsidRDefault="00626E01" w:rsidP="00786F40"/>
        </w:tc>
      </w:tr>
      <w:tr w:rsidR="00626E01" w14:paraId="72B4A6AF" w14:textId="77777777" w:rsidTr="000A0ADD">
        <w:trPr>
          <w:trHeight w:val="513"/>
        </w:trPr>
        <w:tc>
          <w:tcPr>
            <w:tcW w:w="622" w:type="dxa"/>
          </w:tcPr>
          <w:p w14:paraId="31BF6616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16BC1C28" w14:textId="77777777" w:rsidR="00626E01" w:rsidRDefault="00626E01" w:rsidP="00786F40"/>
        </w:tc>
        <w:tc>
          <w:tcPr>
            <w:tcW w:w="4733" w:type="dxa"/>
            <w:gridSpan w:val="3"/>
          </w:tcPr>
          <w:p w14:paraId="4990ECEB" w14:textId="33F859CE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E561F">
              <w:rPr>
                <w:b w:val="0"/>
              </w:rPr>
              <w:t xml:space="preserve"> </w:t>
            </w:r>
          </w:p>
        </w:tc>
        <w:tc>
          <w:tcPr>
            <w:tcW w:w="4732" w:type="dxa"/>
            <w:gridSpan w:val="4"/>
          </w:tcPr>
          <w:p w14:paraId="57DDCAA9" w14:textId="77777777" w:rsidR="00626E01" w:rsidRDefault="00626E01" w:rsidP="00786F40"/>
        </w:tc>
      </w:tr>
      <w:tr w:rsidR="00626E01" w14:paraId="46D0BD78" w14:textId="77777777" w:rsidTr="000A0ADD">
        <w:trPr>
          <w:trHeight w:val="501"/>
        </w:trPr>
        <w:tc>
          <w:tcPr>
            <w:tcW w:w="622" w:type="dxa"/>
          </w:tcPr>
          <w:p w14:paraId="176B79FE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3"/>
          </w:tcPr>
          <w:p w14:paraId="1133C6D7" w14:textId="53934AEB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none</w:t>
            </w:r>
          </w:p>
          <w:p w14:paraId="0A5FD71D" w14:textId="77777777" w:rsidR="00626E01" w:rsidRDefault="00626E01" w:rsidP="00786F40"/>
        </w:tc>
        <w:tc>
          <w:tcPr>
            <w:tcW w:w="4732" w:type="dxa"/>
            <w:gridSpan w:val="4"/>
          </w:tcPr>
          <w:p w14:paraId="19CC1F12" w14:textId="77777777" w:rsidR="00626E01" w:rsidRDefault="00626E01" w:rsidP="00786F40"/>
        </w:tc>
      </w:tr>
      <w:tr w:rsidR="00626E01" w14:paraId="5FBBB3E0" w14:textId="77777777" w:rsidTr="000A0ADD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51018CD1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3"/>
            <w:tcBorders>
              <w:bottom w:val="single" w:sz="4" w:space="0" w:color="auto"/>
            </w:tcBorders>
          </w:tcPr>
          <w:p w14:paraId="4384212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3EF93009" w14:textId="77777777" w:rsidR="00626E01" w:rsidRDefault="00626E01" w:rsidP="00786F40"/>
          <w:p w14:paraId="78B492B2" w14:textId="77777777" w:rsidR="00626E01" w:rsidRDefault="00626E01" w:rsidP="00786F40"/>
        </w:tc>
        <w:tc>
          <w:tcPr>
            <w:tcW w:w="4732" w:type="dxa"/>
            <w:gridSpan w:val="4"/>
            <w:tcBorders>
              <w:bottom w:val="single" w:sz="4" w:space="0" w:color="auto"/>
            </w:tcBorders>
          </w:tcPr>
          <w:p w14:paraId="426CB72B" w14:textId="77777777" w:rsidR="00626E01" w:rsidRDefault="00626E01" w:rsidP="00786F40"/>
        </w:tc>
      </w:tr>
      <w:tr w:rsidR="00D84FEC" w14:paraId="036A2B87" w14:textId="77777777" w:rsidTr="000A0ADD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3EF08E9D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7"/>
            <w:tcBorders>
              <w:top w:val="single" w:sz="4" w:space="0" w:color="auto"/>
            </w:tcBorders>
          </w:tcPr>
          <w:p w14:paraId="2D9BE8A4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38999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4591DBA" w14:textId="77777777" w:rsidTr="000A0ADD">
        <w:trPr>
          <w:trHeight w:val="501"/>
        </w:trPr>
        <w:tc>
          <w:tcPr>
            <w:tcW w:w="622" w:type="dxa"/>
          </w:tcPr>
          <w:p w14:paraId="1B14877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  <w:gridSpan w:val="2"/>
          </w:tcPr>
          <w:p w14:paraId="7D9D2376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10665A29" w14:textId="77777777" w:rsidR="00D84FEC" w:rsidRDefault="00D84FEC"/>
        </w:tc>
        <w:tc>
          <w:tcPr>
            <w:tcW w:w="3113" w:type="dxa"/>
            <w:gridSpan w:val="2"/>
          </w:tcPr>
          <w:p w14:paraId="419D86C6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53483664" w14:textId="77777777" w:rsidR="00D84FEC" w:rsidRDefault="00D84FEC">
            <w:r>
              <w:t>Date:</w:t>
            </w:r>
          </w:p>
        </w:tc>
        <w:tc>
          <w:tcPr>
            <w:tcW w:w="2740" w:type="dxa"/>
            <w:gridSpan w:val="2"/>
          </w:tcPr>
          <w:p w14:paraId="145B79B7" w14:textId="77777777" w:rsidR="00D84FEC" w:rsidRDefault="00D84FEC">
            <w:r>
              <w:t>______________</w:t>
            </w:r>
          </w:p>
        </w:tc>
      </w:tr>
    </w:tbl>
    <w:p w14:paraId="39D61D8C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D1F6BE4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8477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9B41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860888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DBE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F63E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C38173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B0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7B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201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03C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C95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30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CD1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35C3F5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073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6F92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1076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3FF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4199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6591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3EF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72E7811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6B64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7BAF10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D2E0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9A80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1EDDDC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F0C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E804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F31BB5E" w14:textId="454FB095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and is briefed on this Job Description.  If there are more nominated deputies, they should sign further copies of this Job Description.</w:t>
            </w:r>
          </w:p>
        </w:tc>
      </w:tr>
      <w:tr w:rsidR="00834DE6" w:rsidRPr="00046324" w14:paraId="2454904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3A6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CC4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7CA3B5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A0B4D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C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F67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4D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874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81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07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42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B547D9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664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6FA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660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093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681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2F7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8AA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3629684" w14:textId="77777777" w:rsidR="00D84FEC" w:rsidRDefault="00D84FEC" w:rsidP="00834DE6"/>
    <w:sectPr w:rsidR="00D84FEC" w:rsidSect="0045199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6A37F" w14:textId="77777777" w:rsidR="004B7007" w:rsidRDefault="004B7007">
      <w:r>
        <w:separator/>
      </w:r>
    </w:p>
  </w:endnote>
  <w:endnote w:type="continuationSeparator" w:id="0">
    <w:p w14:paraId="21169E2B" w14:textId="77777777" w:rsidR="004B7007" w:rsidRDefault="004B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65585" w14:textId="48CA21E8" w:rsidR="00F20455" w:rsidRDefault="00F20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838F49" wp14:editId="659368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2FB2B" w14:textId="604A7FB4" w:rsidR="00F20455" w:rsidRPr="00F20455" w:rsidRDefault="00F204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20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D838F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062FB2B" w14:textId="604A7FB4" w:rsidR="00F20455" w:rsidRPr="00F20455" w:rsidRDefault="00F204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20455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BCE7" w14:textId="5AA22E7B" w:rsidR="00F20455" w:rsidRDefault="00F20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DE1993" wp14:editId="3E24AB72">
              <wp:simplePos x="1143000" y="100774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AFD6C" w14:textId="5D88B84D" w:rsidR="00F20455" w:rsidRPr="00F20455" w:rsidRDefault="00F204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20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ADE19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26AFD6C" w14:textId="5D88B84D" w:rsidR="00F20455" w:rsidRPr="00F20455" w:rsidRDefault="00F204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20455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F3CA" w14:textId="1AABF9E4" w:rsidR="00F20455" w:rsidRDefault="00F20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9E6669" wp14:editId="4D1C286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7AFD4" w14:textId="42113A79" w:rsidR="00F20455" w:rsidRPr="00F20455" w:rsidRDefault="00F204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20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29E6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EA7AFD4" w14:textId="42113A79" w:rsidR="00F20455" w:rsidRPr="00F20455" w:rsidRDefault="00F204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20455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1825" w14:textId="77777777" w:rsidR="004B7007" w:rsidRDefault="004B7007">
      <w:r>
        <w:separator/>
      </w:r>
    </w:p>
  </w:footnote>
  <w:footnote w:type="continuationSeparator" w:id="0">
    <w:p w14:paraId="35C4E899" w14:textId="77777777" w:rsidR="004B7007" w:rsidRDefault="004B7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254B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972F4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FEFB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2B330A2E" wp14:editId="601A5981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FBAED" w14:textId="77777777" w:rsidR="00C61124" w:rsidRDefault="00C61124">
    <w:pPr>
      <w:pStyle w:val="Header"/>
    </w:pPr>
  </w:p>
  <w:p w14:paraId="4D12E479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8D3CFA5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40BA8"/>
    <w:multiLevelType w:val="hybridMultilevel"/>
    <w:tmpl w:val="C13E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4E3D83"/>
    <w:multiLevelType w:val="hybridMultilevel"/>
    <w:tmpl w:val="F62A2E1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53187"/>
    <w:multiLevelType w:val="hybridMultilevel"/>
    <w:tmpl w:val="A3C0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398913">
    <w:abstractNumId w:val="4"/>
  </w:num>
  <w:num w:numId="2" w16cid:durableId="1264680441">
    <w:abstractNumId w:val="7"/>
  </w:num>
  <w:num w:numId="3" w16cid:durableId="634605629">
    <w:abstractNumId w:val="5"/>
  </w:num>
  <w:num w:numId="4" w16cid:durableId="1164777316">
    <w:abstractNumId w:val="2"/>
  </w:num>
  <w:num w:numId="5" w16cid:durableId="1493569412">
    <w:abstractNumId w:val="10"/>
  </w:num>
  <w:num w:numId="6" w16cid:durableId="2017534688">
    <w:abstractNumId w:val="12"/>
  </w:num>
  <w:num w:numId="7" w16cid:durableId="1405493110">
    <w:abstractNumId w:val="0"/>
  </w:num>
  <w:num w:numId="8" w16cid:durableId="286741233">
    <w:abstractNumId w:val="8"/>
  </w:num>
  <w:num w:numId="9" w16cid:durableId="541208070">
    <w:abstractNumId w:val="9"/>
  </w:num>
  <w:num w:numId="10" w16cid:durableId="841580523">
    <w:abstractNumId w:val="11"/>
  </w:num>
  <w:num w:numId="11" w16cid:durableId="1808937423">
    <w:abstractNumId w:val="3"/>
  </w:num>
  <w:num w:numId="12" w16cid:durableId="1800225140">
    <w:abstractNumId w:val="6"/>
  </w:num>
  <w:num w:numId="13" w16cid:durableId="203812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01739"/>
    <w:rsid w:val="000021E5"/>
    <w:rsid w:val="000024D5"/>
    <w:rsid w:val="00021548"/>
    <w:rsid w:val="00044FBC"/>
    <w:rsid w:val="00050958"/>
    <w:rsid w:val="00051B55"/>
    <w:rsid w:val="00054C17"/>
    <w:rsid w:val="00056635"/>
    <w:rsid w:val="000718D6"/>
    <w:rsid w:val="000738A4"/>
    <w:rsid w:val="000911ED"/>
    <w:rsid w:val="000A0ADD"/>
    <w:rsid w:val="000A13B5"/>
    <w:rsid w:val="000C28B7"/>
    <w:rsid w:val="000C649A"/>
    <w:rsid w:val="000D1CFF"/>
    <w:rsid w:val="000D5C4C"/>
    <w:rsid w:val="000E74FE"/>
    <w:rsid w:val="000F0246"/>
    <w:rsid w:val="001165E5"/>
    <w:rsid w:val="00116C0C"/>
    <w:rsid w:val="0011749E"/>
    <w:rsid w:val="00135B21"/>
    <w:rsid w:val="00151993"/>
    <w:rsid w:val="001519C8"/>
    <w:rsid w:val="001618AF"/>
    <w:rsid w:val="00187244"/>
    <w:rsid w:val="001907EA"/>
    <w:rsid w:val="00191844"/>
    <w:rsid w:val="001B3011"/>
    <w:rsid w:val="001D4D58"/>
    <w:rsid w:val="001E4219"/>
    <w:rsid w:val="001F1040"/>
    <w:rsid w:val="001F19A9"/>
    <w:rsid w:val="0020017C"/>
    <w:rsid w:val="00224449"/>
    <w:rsid w:val="00241C77"/>
    <w:rsid w:val="00251073"/>
    <w:rsid w:val="00251439"/>
    <w:rsid w:val="00271BED"/>
    <w:rsid w:val="0027554B"/>
    <w:rsid w:val="00276134"/>
    <w:rsid w:val="00294BFB"/>
    <w:rsid w:val="00295B1A"/>
    <w:rsid w:val="002A20A6"/>
    <w:rsid w:val="002A7F2C"/>
    <w:rsid w:val="002B5DF2"/>
    <w:rsid w:val="002C62F5"/>
    <w:rsid w:val="002E561F"/>
    <w:rsid w:val="002E7918"/>
    <w:rsid w:val="003007D7"/>
    <w:rsid w:val="00302B4D"/>
    <w:rsid w:val="003106D0"/>
    <w:rsid w:val="00312DF0"/>
    <w:rsid w:val="00315173"/>
    <w:rsid w:val="00321632"/>
    <w:rsid w:val="00345F70"/>
    <w:rsid w:val="00346732"/>
    <w:rsid w:val="00373A9A"/>
    <w:rsid w:val="00375AFB"/>
    <w:rsid w:val="00377E50"/>
    <w:rsid w:val="00384260"/>
    <w:rsid w:val="0039260F"/>
    <w:rsid w:val="00392A54"/>
    <w:rsid w:val="003A1C34"/>
    <w:rsid w:val="003B2C8B"/>
    <w:rsid w:val="003B5853"/>
    <w:rsid w:val="003C6DDF"/>
    <w:rsid w:val="003D58FF"/>
    <w:rsid w:val="003D6F74"/>
    <w:rsid w:val="003D773E"/>
    <w:rsid w:val="003F277C"/>
    <w:rsid w:val="003F2BA8"/>
    <w:rsid w:val="004006DA"/>
    <w:rsid w:val="00404993"/>
    <w:rsid w:val="00420438"/>
    <w:rsid w:val="00422300"/>
    <w:rsid w:val="00440313"/>
    <w:rsid w:val="0044425D"/>
    <w:rsid w:val="00451996"/>
    <w:rsid w:val="00452637"/>
    <w:rsid w:val="004540EB"/>
    <w:rsid w:val="004610F8"/>
    <w:rsid w:val="00462679"/>
    <w:rsid w:val="004678A7"/>
    <w:rsid w:val="00474971"/>
    <w:rsid w:val="004759A0"/>
    <w:rsid w:val="004A3026"/>
    <w:rsid w:val="004B0C5F"/>
    <w:rsid w:val="004B7007"/>
    <w:rsid w:val="004E076B"/>
    <w:rsid w:val="004E4AC3"/>
    <w:rsid w:val="004E6D38"/>
    <w:rsid w:val="00506554"/>
    <w:rsid w:val="005112D2"/>
    <w:rsid w:val="00511F3A"/>
    <w:rsid w:val="00512DA9"/>
    <w:rsid w:val="00554F0C"/>
    <w:rsid w:val="005576E8"/>
    <w:rsid w:val="00571666"/>
    <w:rsid w:val="00573EEC"/>
    <w:rsid w:val="00574BF0"/>
    <w:rsid w:val="00580CF4"/>
    <w:rsid w:val="005903EA"/>
    <w:rsid w:val="0059129D"/>
    <w:rsid w:val="00596FAA"/>
    <w:rsid w:val="005970B7"/>
    <w:rsid w:val="00597ECD"/>
    <w:rsid w:val="005D57B8"/>
    <w:rsid w:val="005D59B6"/>
    <w:rsid w:val="005E6E72"/>
    <w:rsid w:val="006032F2"/>
    <w:rsid w:val="0061313A"/>
    <w:rsid w:val="006132AF"/>
    <w:rsid w:val="006173D1"/>
    <w:rsid w:val="00617996"/>
    <w:rsid w:val="00626E01"/>
    <w:rsid w:val="0064152E"/>
    <w:rsid w:val="00643706"/>
    <w:rsid w:val="00650C7B"/>
    <w:rsid w:val="00653327"/>
    <w:rsid w:val="00656457"/>
    <w:rsid w:val="006619F5"/>
    <w:rsid w:val="00674446"/>
    <w:rsid w:val="00675296"/>
    <w:rsid w:val="00675DE1"/>
    <w:rsid w:val="00677D91"/>
    <w:rsid w:val="006811CD"/>
    <w:rsid w:val="00692504"/>
    <w:rsid w:val="006943EB"/>
    <w:rsid w:val="00695AFA"/>
    <w:rsid w:val="00697923"/>
    <w:rsid w:val="006A098C"/>
    <w:rsid w:val="006B0B70"/>
    <w:rsid w:val="006B4C54"/>
    <w:rsid w:val="006B7930"/>
    <w:rsid w:val="006C7266"/>
    <w:rsid w:val="006D003D"/>
    <w:rsid w:val="006D118E"/>
    <w:rsid w:val="006E7313"/>
    <w:rsid w:val="006F36A6"/>
    <w:rsid w:val="006F47E9"/>
    <w:rsid w:val="0070705E"/>
    <w:rsid w:val="00725FAD"/>
    <w:rsid w:val="007322EE"/>
    <w:rsid w:val="00735889"/>
    <w:rsid w:val="00736122"/>
    <w:rsid w:val="0073742A"/>
    <w:rsid w:val="00742609"/>
    <w:rsid w:val="00745F30"/>
    <w:rsid w:val="0074689F"/>
    <w:rsid w:val="00764D59"/>
    <w:rsid w:val="00772E3D"/>
    <w:rsid w:val="00774389"/>
    <w:rsid w:val="007749BB"/>
    <w:rsid w:val="007752B7"/>
    <w:rsid w:val="00777164"/>
    <w:rsid w:val="00782E8D"/>
    <w:rsid w:val="00784DC5"/>
    <w:rsid w:val="00785907"/>
    <w:rsid w:val="00786F40"/>
    <w:rsid w:val="00795257"/>
    <w:rsid w:val="0079548B"/>
    <w:rsid w:val="007B2441"/>
    <w:rsid w:val="007B5FA3"/>
    <w:rsid w:val="007C5D29"/>
    <w:rsid w:val="00813AD3"/>
    <w:rsid w:val="008179F8"/>
    <w:rsid w:val="00834DE6"/>
    <w:rsid w:val="00835E31"/>
    <w:rsid w:val="00850783"/>
    <w:rsid w:val="008521FD"/>
    <w:rsid w:val="008623B8"/>
    <w:rsid w:val="00865903"/>
    <w:rsid w:val="00865C4C"/>
    <w:rsid w:val="00886DE0"/>
    <w:rsid w:val="00892F2F"/>
    <w:rsid w:val="008A12CA"/>
    <w:rsid w:val="008A4DC7"/>
    <w:rsid w:val="008B2839"/>
    <w:rsid w:val="008C1C4E"/>
    <w:rsid w:val="008C6C6D"/>
    <w:rsid w:val="008D72CD"/>
    <w:rsid w:val="008E1665"/>
    <w:rsid w:val="008E6109"/>
    <w:rsid w:val="008F13B6"/>
    <w:rsid w:val="008F26EB"/>
    <w:rsid w:val="008F27B1"/>
    <w:rsid w:val="009232E3"/>
    <w:rsid w:val="00931A09"/>
    <w:rsid w:val="0093728E"/>
    <w:rsid w:val="00955BF2"/>
    <w:rsid w:val="00966BCD"/>
    <w:rsid w:val="00970EC3"/>
    <w:rsid w:val="00975304"/>
    <w:rsid w:val="00982051"/>
    <w:rsid w:val="009850D8"/>
    <w:rsid w:val="00990B31"/>
    <w:rsid w:val="00995F85"/>
    <w:rsid w:val="009A7CD8"/>
    <w:rsid w:val="009C14D4"/>
    <w:rsid w:val="009C33DA"/>
    <w:rsid w:val="009D6CED"/>
    <w:rsid w:val="009E14D2"/>
    <w:rsid w:val="009E1A60"/>
    <w:rsid w:val="009E1DD3"/>
    <w:rsid w:val="009E3341"/>
    <w:rsid w:val="009F52E7"/>
    <w:rsid w:val="00A06454"/>
    <w:rsid w:val="00A12D18"/>
    <w:rsid w:val="00A16E5A"/>
    <w:rsid w:val="00A24231"/>
    <w:rsid w:val="00A259D2"/>
    <w:rsid w:val="00A36E91"/>
    <w:rsid w:val="00A81810"/>
    <w:rsid w:val="00AA31C7"/>
    <w:rsid w:val="00AB54E9"/>
    <w:rsid w:val="00AE3CB3"/>
    <w:rsid w:val="00AE4F6B"/>
    <w:rsid w:val="00B00066"/>
    <w:rsid w:val="00B010E6"/>
    <w:rsid w:val="00B010F1"/>
    <w:rsid w:val="00B0299F"/>
    <w:rsid w:val="00B1706A"/>
    <w:rsid w:val="00B3219C"/>
    <w:rsid w:val="00B3255C"/>
    <w:rsid w:val="00B42E87"/>
    <w:rsid w:val="00B47F19"/>
    <w:rsid w:val="00B551E3"/>
    <w:rsid w:val="00B55F77"/>
    <w:rsid w:val="00B7035F"/>
    <w:rsid w:val="00B77664"/>
    <w:rsid w:val="00B8178C"/>
    <w:rsid w:val="00B974C8"/>
    <w:rsid w:val="00BA0F90"/>
    <w:rsid w:val="00BD30BA"/>
    <w:rsid w:val="00BD4042"/>
    <w:rsid w:val="00BE26C3"/>
    <w:rsid w:val="00BE7326"/>
    <w:rsid w:val="00BF52F4"/>
    <w:rsid w:val="00BF6123"/>
    <w:rsid w:val="00C06B63"/>
    <w:rsid w:val="00C107BD"/>
    <w:rsid w:val="00C12F08"/>
    <w:rsid w:val="00C22881"/>
    <w:rsid w:val="00C23F53"/>
    <w:rsid w:val="00C40465"/>
    <w:rsid w:val="00C57AB2"/>
    <w:rsid w:val="00C61124"/>
    <w:rsid w:val="00C620F7"/>
    <w:rsid w:val="00C74506"/>
    <w:rsid w:val="00C80ED4"/>
    <w:rsid w:val="00CA745C"/>
    <w:rsid w:val="00CB3640"/>
    <w:rsid w:val="00CB4242"/>
    <w:rsid w:val="00CB780E"/>
    <w:rsid w:val="00CD49DA"/>
    <w:rsid w:val="00D11649"/>
    <w:rsid w:val="00D174DB"/>
    <w:rsid w:val="00D17A38"/>
    <w:rsid w:val="00D211D0"/>
    <w:rsid w:val="00D225DD"/>
    <w:rsid w:val="00D324EA"/>
    <w:rsid w:val="00D45ACA"/>
    <w:rsid w:val="00D53BA4"/>
    <w:rsid w:val="00D54FF9"/>
    <w:rsid w:val="00D55FCA"/>
    <w:rsid w:val="00D61DC9"/>
    <w:rsid w:val="00D64F34"/>
    <w:rsid w:val="00D72C37"/>
    <w:rsid w:val="00D8318A"/>
    <w:rsid w:val="00D84FEC"/>
    <w:rsid w:val="00DD0735"/>
    <w:rsid w:val="00DD3F12"/>
    <w:rsid w:val="00DD5ED1"/>
    <w:rsid w:val="00DD771F"/>
    <w:rsid w:val="00DE4668"/>
    <w:rsid w:val="00DE4A18"/>
    <w:rsid w:val="00DF1BFA"/>
    <w:rsid w:val="00DF2346"/>
    <w:rsid w:val="00E241A1"/>
    <w:rsid w:val="00E44E16"/>
    <w:rsid w:val="00E57142"/>
    <w:rsid w:val="00E62D50"/>
    <w:rsid w:val="00E66B02"/>
    <w:rsid w:val="00E7263A"/>
    <w:rsid w:val="00E96191"/>
    <w:rsid w:val="00EA3BBD"/>
    <w:rsid w:val="00EB4155"/>
    <w:rsid w:val="00EC4A6A"/>
    <w:rsid w:val="00ED0C7D"/>
    <w:rsid w:val="00ED3D10"/>
    <w:rsid w:val="00EE0867"/>
    <w:rsid w:val="00EE6382"/>
    <w:rsid w:val="00F00FA5"/>
    <w:rsid w:val="00F049B7"/>
    <w:rsid w:val="00F20455"/>
    <w:rsid w:val="00F21B4E"/>
    <w:rsid w:val="00F504D6"/>
    <w:rsid w:val="00F61A82"/>
    <w:rsid w:val="00F6247E"/>
    <w:rsid w:val="00F64079"/>
    <w:rsid w:val="00F70C1C"/>
    <w:rsid w:val="00F75B26"/>
    <w:rsid w:val="00F81EE7"/>
    <w:rsid w:val="00F9133D"/>
    <w:rsid w:val="00F9771E"/>
    <w:rsid w:val="00FA257C"/>
    <w:rsid w:val="00FB7497"/>
    <w:rsid w:val="00FE47EE"/>
    <w:rsid w:val="00FE7816"/>
    <w:rsid w:val="00FF73B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A92DD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B749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252abf-f691-4f23-99bf-2c491cfa21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CB050D35BC94ABF1260017BEA846C" ma:contentTypeVersion="18" ma:contentTypeDescription="Create a new document." ma:contentTypeScope="" ma:versionID="6fb8924111e9a83156fec6129a413e96">
  <xsd:schema xmlns:xsd="http://www.w3.org/2001/XMLSchema" xmlns:xs="http://www.w3.org/2001/XMLSchema" xmlns:p="http://schemas.microsoft.com/office/2006/metadata/properties" xmlns:ns3="9e252abf-f691-4f23-99bf-2c491cfa216a" xmlns:ns4="f889f342-5c9d-42f4-8456-608605a5010a" targetNamespace="http://schemas.microsoft.com/office/2006/metadata/properties" ma:root="true" ma:fieldsID="d92143b79a536f8d308904f78e2766b7" ns3:_="" ns4:_="">
    <xsd:import namespace="9e252abf-f691-4f23-99bf-2c491cfa216a"/>
    <xsd:import namespace="f889f342-5c9d-42f4-8456-608605a501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2abf-f691-4f23-99bf-2c491cfa2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9f342-5c9d-42f4-8456-608605a50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40819-62CF-4860-A2A7-472559C48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A76B0-9519-49B9-8F70-B8AFD21B5D19}">
  <ds:schemaRefs>
    <ds:schemaRef ds:uri="http://schemas.microsoft.com/office/2006/metadata/properties"/>
    <ds:schemaRef ds:uri="http://schemas.microsoft.com/office/infopath/2007/PartnerControls"/>
    <ds:schemaRef ds:uri="9e252abf-f691-4f23-99bf-2c491cfa216a"/>
  </ds:schemaRefs>
</ds:datastoreItem>
</file>

<file path=customXml/itemProps3.xml><?xml version="1.0" encoding="utf-8"?>
<ds:datastoreItem xmlns:ds="http://schemas.openxmlformats.org/officeDocument/2006/customXml" ds:itemID="{D795CCC7-EC30-4BC7-8F4F-9B63D65E1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52abf-f691-4f23-99bf-2c491cfa216a"/>
    <ds:schemaRef ds:uri="f889f342-5c9d-42f4-8456-608605a50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9308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2025-02-13T14:50:00Z</dcterms:created>
  <dcterms:modified xsi:type="dcterms:W3CDTF">2025-02-13T14:50:00Z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  <property fmtid="{D5CDD505-2E9C-101B-9397-08002B2CF9AE}" pid="8" name="ContentTypeId">
    <vt:lpwstr>0x0101008F2CB050D35BC94ABF1260017BEA846C</vt:lpwstr>
  </property>
</Properties>
</file>