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14401472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14174091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B14BEA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5E24363" w14:textId="77777777" w:rsidR="00D84FEC" w:rsidRDefault="00D84FEC">
            <w:pPr>
              <w:rPr>
                <w:b/>
              </w:rPr>
            </w:pPr>
          </w:p>
        </w:tc>
      </w:tr>
      <w:tr w:rsidR="00D84FEC" w14:paraId="76255F05" w14:textId="77777777" w:rsidTr="00A762CD">
        <w:tc>
          <w:tcPr>
            <w:tcW w:w="709" w:type="dxa"/>
          </w:tcPr>
          <w:p w14:paraId="795D06F8" w14:textId="77777777" w:rsidR="00D84FEC" w:rsidRDefault="00D84FEC"/>
        </w:tc>
        <w:tc>
          <w:tcPr>
            <w:tcW w:w="2127" w:type="dxa"/>
          </w:tcPr>
          <w:p w14:paraId="00E142B9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F5E994E" w14:textId="1D690BC6" w:rsidR="00D84FEC" w:rsidRDefault="00DC3673" w:rsidP="001D0CBE">
            <w:r>
              <w:t>General Manager (Operational Readiness)</w:t>
            </w:r>
            <w:r w:rsidR="0038713E">
              <w:t xml:space="preserve"> </w:t>
            </w:r>
            <w:r w:rsidR="0038713E" w:rsidRPr="0038713E">
              <w:rPr>
                <w:b/>
                <w:bCs/>
              </w:rPr>
              <w:t>Secondment</w:t>
            </w:r>
          </w:p>
          <w:p w14:paraId="3272BBE8" w14:textId="6B53227A" w:rsidR="00C76933" w:rsidRDefault="00C76933" w:rsidP="001D0CBE"/>
        </w:tc>
        <w:tc>
          <w:tcPr>
            <w:tcW w:w="1417" w:type="dxa"/>
          </w:tcPr>
          <w:p w14:paraId="769F900A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6265CAE3" w14:textId="2D5F52D5" w:rsidR="00D84FEC" w:rsidRDefault="001D0CBE">
            <w:r>
              <w:t>Operations &amp; Safety</w:t>
            </w:r>
          </w:p>
        </w:tc>
      </w:tr>
      <w:tr w:rsidR="00D84FEC" w14:paraId="7BA00E96" w14:textId="77777777" w:rsidTr="00A762CD">
        <w:tc>
          <w:tcPr>
            <w:tcW w:w="709" w:type="dxa"/>
          </w:tcPr>
          <w:p w14:paraId="12BB4CFD" w14:textId="77777777" w:rsidR="00D84FEC" w:rsidRDefault="00D84FEC"/>
        </w:tc>
        <w:tc>
          <w:tcPr>
            <w:tcW w:w="2127" w:type="dxa"/>
          </w:tcPr>
          <w:p w14:paraId="3685374A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2FA6E042" w14:textId="7EA9AF4A" w:rsidR="00D84FEC" w:rsidRDefault="001D0CBE">
            <w:r>
              <w:t>4ML</w:t>
            </w:r>
          </w:p>
          <w:p w14:paraId="2FF61DAB" w14:textId="77777777" w:rsidR="00D84FEC" w:rsidRDefault="00D84FEC"/>
        </w:tc>
        <w:tc>
          <w:tcPr>
            <w:tcW w:w="1417" w:type="dxa"/>
          </w:tcPr>
          <w:p w14:paraId="0FDCECDC" w14:textId="77777777" w:rsidR="00D84FEC" w:rsidRDefault="00D84FEC">
            <w:r>
              <w:t>Unique Post Number:</w:t>
            </w:r>
          </w:p>
          <w:p w14:paraId="29776F31" w14:textId="77777777" w:rsidR="00D84FEC" w:rsidRDefault="00D84FEC"/>
        </w:tc>
        <w:tc>
          <w:tcPr>
            <w:tcW w:w="3544" w:type="dxa"/>
            <w:gridSpan w:val="5"/>
          </w:tcPr>
          <w:p w14:paraId="65F17846" w14:textId="77777777" w:rsidR="00D84FEC" w:rsidRDefault="00D84FEC"/>
        </w:tc>
      </w:tr>
      <w:tr w:rsidR="00D84FEC" w14:paraId="17FD72ED" w14:textId="77777777" w:rsidTr="00A762CD">
        <w:tc>
          <w:tcPr>
            <w:tcW w:w="709" w:type="dxa"/>
          </w:tcPr>
          <w:p w14:paraId="465C85AE" w14:textId="77777777" w:rsidR="00D84FEC" w:rsidRDefault="00D84FEC"/>
        </w:tc>
        <w:tc>
          <w:tcPr>
            <w:tcW w:w="2127" w:type="dxa"/>
          </w:tcPr>
          <w:p w14:paraId="66814158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07B4C4B5" w14:textId="6113F88C" w:rsidR="00D84FEC" w:rsidRDefault="001D0CBE">
            <w:r>
              <w:t>Operations &amp; Safety Director</w:t>
            </w:r>
          </w:p>
          <w:p w14:paraId="3CEB1145" w14:textId="77777777" w:rsidR="00D84FEC" w:rsidRDefault="00D84FEC"/>
        </w:tc>
        <w:tc>
          <w:tcPr>
            <w:tcW w:w="1417" w:type="dxa"/>
          </w:tcPr>
          <w:p w14:paraId="210262C7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7394368B" w14:textId="77777777" w:rsidR="00D84FEC" w:rsidRDefault="00EC522F">
            <w:r>
              <w:t>SMG</w:t>
            </w:r>
          </w:p>
        </w:tc>
      </w:tr>
      <w:tr w:rsidR="00D84FEC" w14:paraId="41C5DE17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712EAE7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6E7BFD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B715A3" w14:textId="77777777" w:rsidR="00D84FEC" w:rsidRDefault="00D84FEC">
            <w:pPr>
              <w:rPr>
                <w:b/>
              </w:rPr>
            </w:pPr>
          </w:p>
        </w:tc>
      </w:tr>
      <w:tr w:rsidR="00D84FEC" w14:paraId="0480C287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5EE5E3F5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16764B8" w14:textId="0D2E612F" w:rsidR="00DC3673" w:rsidRPr="005E4674" w:rsidRDefault="00DC3673" w:rsidP="00DC3673">
            <w:pPr>
              <w:shd w:val="clear" w:color="auto" w:fill="FFFFFF"/>
              <w:spacing w:after="120"/>
              <w:outlineLvl w:val="3"/>
              <w:rPr>
                <w:b/>
              </w:rPr>
            </w:pPr>
            <w:r w:rsidRPr="00DC3673">
              <w:rPr>
                <w:rFonts w:cs="Arial"/>
                <w:bCs/>
              </w:rPr>
              <w:t xml:space="preserve">This role is principally to </w:t>
            </w:r>
            <w:r>
              <w:rPr>
                <w:rFonts w:cs="Arial"/>
                <w:bCs/>
              </w:rPr>
              <w:t>e</w:t>
            </w:r>
            <w:r w:rsidRPr="00DC3673">
              <w:rPr>
                <w:rFonts w:cs="Arial"/>
                <w:bCs/>
              </w:rPr>
              <w:t>nsure</w:t>
            </w:r>
            <w:r>
              <w:rPr>
                <w:rFonts w:cs="Arial"/>
                <w:bCs/>
              </w:rPr>
              <w:t xml:space="preserve"> alignment of various programmes/projects enabling the Operations &amp; Safety directorate and wider business</w:t>
            </w:r>
            <w:r w:rsidRPr="005E4674">
              <w:rPr>
                <w:rFonts w:cs="Arial"/>
                <w:bCs/>
              </w:rPr>
              <w:t xml:space="preserve"> to act early to </w:t>
            </w:r>
            <w:r>
              <w:rPr>
                <w:rFonts w:cs="Arial"/>
                <w:bCs/>
              </w:rPr>
              <w:t>ensure operational readiness. M</w:t>
            </w:r>
            <w:r w:rsidRPr="005E4674">
              <w:rPr>
                <w:rFonts w:cs="Arial"/>
                <w:bCs/>
              </w:rPr>
              <w:t>inimis</w:t>
            </w:r>
            <w:r>
              <w:rPr>
                <w:rFonts w:cs="Arial"/>
                <w:bCs/>
              </w:rPr>
              <w:t>ing</w:t>
            </w:r>
            <w:r w:rsidRPr="005E4674">
              <w:rPr>
                <w:rFonts w:cs="Arial"/>
                <w:bCs/>
              </w:rPr>
              <w:t xml:space="preserve"> disruption, effectively </w:t>
            </w:r>
            <w:r w:rsidR="00A762CD">
              <w:rPr>
                <w:rFonts w:cs="Arial"/>
                <w:bCs/>
              </w:rPr>
              <w:t xml:space="preserve">embedding, and </w:t>
            </w:r>
            <w:r>
              <w:rPr>
                <w:rFonts w:cs="Arial"/>
                <w:bCs/>
              </w:rPr>
              <w:t>introduc</w:t>
            </w:r>
            <w:r w:rsidR="00A762CD">
              <w:rPr>
                <w:rFonts w:cs="Arial"/>
                <w:bCs/>
              </w:rPr>
              <w:t xml:space="preserve">ing </w:t>
            </w:r>
            <w:r>
              <w:rPr>
                <w:rFonts w:cs="Arial"/>
                <w:bCs/>
              </w:rPr>
              <w:t>change</w:t>
            </w:r>
            <w:r w:rsidRPr="005E4674">
              <w:rPr>
                <w:rFonts w:cs="Arial"/>
                <w:bCs/>
              </w:rPr>
              <w:t xml:space="preserve"> and optimis</w:t>
            </w:r>
            <w:r w:rsidR="00A762CD">
              <w:rPr>
                <w:rFonts w:cs="Arial"/>
                <w:bCs/>
              </w:rPr>
              <w:t>ing</w:t>
            </w:r>
            <w:r w:rsidRPr="005E4674">
              <w:rPr>
                <w:rFonts w:cs="Arial"/>
                <w:bCs/>
              </w:rPr>
              <w:t xml:space="preserve"> operations to ensure the benefits from </w:t>
            </w:r>
            <w:r>
              <w:rPr>
                <w:rFonts w:cs="Arial"/>
                <w:bCs/>
              </w:rPr>
              <w:t>multiple change programmes</w:t>
            </w:r>
            <w:r w:rsidRPr="005E4674">
              <w:rPr>
                <w:rFonts w:cs="Arial"/>
                <w:bCs/>
              </w:rPr>
              <w:t xml:space="preserve"> a</w:t>
            </w:r>
            <w:r w:rsidR="00A762CD">
              <w:rPr>
                <w:rFonts w:cs="Arial"/>
                <w:bCs/>
              </w:rPr>
              <w:t>r</w:t>
            </w:r>
            <w:r w:rsidRPr="005E4674">
              <w:rPr>
                <w:rFonts w:cs="Arial"/>
                <w:bCs/>
              </w:rPr>
              <w:t>e realised.</w:t>
            </w:r>
          </w:p>
          <w:p w14:paraId="7430858F" w14:textId="468FA063" w:rsidR="00D84FEC" w:rsidRDefault="00D84FEC" w:rsidP="001D0CBE">
            <w:pPr>
              <w:rPr>
                <w:b/>
              </w:rPr>
            </w:pPr>
          </w:p>
        </w:tc>
      </w:tr>
      <w:tr w:rsidR="00D84FEC" w14:paraId="64FEEA24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5AB36705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F840A9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796887C" w14:textId="77777777" w:rsidR="00D84FEC" w:rsidRDefault="00D84FEC">
            <w:pPr>
              <w:rPr>
                <w:b/>
              </w:rPr>
            </w:pPr>
          </w:p>
        </w:tc>
      </w:tr>
      <w:tr w:rsidR="00EC522F" w14:paraId="76E10ECE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226952E7" w14:textId="77777777" w:rsidR="00EC522F" w:rsidRDefault="00EC522F">
            <w:r>
              <w:t>C1</w:t>
            </w:r>
          </w:p>
          <w:p w14:paraId="3D9E2A01" w14:textId="77777777" w:rsidR="00EC522F" w:rsidRDefault="00EC522F"/>
          <w:p w14:paraId="77BE4A24" w14:textId="77777777" w:rsidR="00EC522F" w:rsidRDefault="00EC522F"/>
          <w:p w14:paraId="5A2F48DA" w14:textId="77777777" w:rsidR="00EC522F" w:rsidRDefault="00EC522F"/>
          <w:p w14:paraId="630AC41C" w14:textId="77777777" w:rsidR="00EC522F" w:rsidRDefault="00EC522F">
            <w:r>
              <w:t>C2</w:t>
            </w:r>
          </w:p>
          <w:p w14:paraId="2F125C1C" w14:textId="77777777" w:rsidR="00F60D00" w:rsidRDefault="00F60D00"/>
          <w:p w14:paraId="6E647443" w14:textId="6D5FA94D" w:rsidR="00EC522F" w:rsidRDefault="00EC522F"/>
          <w:p w14:paraId="09EEEB48" w14:textId="2DC4E9D2" w:rsidR="001D0CBE" w:rsidRDefault="001D0CBE"/>
          <w:p w14:paraId="1ECD233B" w14:textId="77777777" w:rsidR="00EC522F" w:rsidRDefault="00EC522F">
            <w:r>
              <w:t>C3</w:t>
            </w:r>
          </w:p>
          <w:p w14:paraId="3ECD4FB2" w14:textId="2481EEB7" w:rsidR="00F60D00" w:rsidRDefault="00F60D00"/>
          <w:p w14:paraId="27AF9C41" w14:textId="77777777" w:rsidR="000D4EBE" w:rsidRDefault="000D4EBE"/>
          <w:p w14:paraId="48A6A8D1" w14:textId="77777777" w:rsidR="00EC522F" w:rsidRDefault="00EC522F">
            <w:r>
              <w:t>C4</w:t>
            </w:r>
          </w:p>
          <w:p w14:paraId="3CA72C7F" w14:textId="77777777" w:rsidR="00166FC1" w:rsidRDefault="00166FC1"/>
          <w:p w14:paraId="7462E46B" w14:textId="77777777" w:rsidR="00EC522F" w:rsidRDefault="00EC522F"/>
          <w:p w14:paraId="10E1C660" w14:textId="77777777" w:rsidR="00EC522F" w:rsidRDefault="00EC522F">
            <w:r>
              <w:t>C5</w:t>
            </w:r>
          </w:p>
          <w:p w14:paraId="4083FAC3" w14:textId="77777777" w:rsidR="00166FC1" w:rsidRDefault="00166FC1"/>
          <w:p w14:paraId="642D8767" w14:textId="77777777" w:rsidR="00166FC1" w:rsidRDefault="00EC522F">
            <w:r>
              <w:t>C6</w:t>
            </w:r>
          </w:p>
          <w:p w14:paraId="41B062F1" w14:textId="77777777" w:rsidR="00166FC1" w:rsidRDefault="00166FC1"/>
          <w:p w14:paraId="204A09E4" w14:textId="77777777" w:rsidR="0038713E" w:rsidRDefault="0038713E"/>
          <w:p w14:paraId="1F948AE8" w14:textId="61F57302" w:rsidR="00EC522F" w:rsidRDefault="00EC522F">
            <w:r>
              <w:t>C7</w:t>
            </w:r>
          </w:p>
          <w:p w14:paraId="20A1A7D9" w14:textId="77777777" w:rsidR="00166FC1" w:rsidRDefault="00166FC1"/>
          <w:p w14:paraId="74B0E0D5" w14:textId="77777777" w:rsidR="00EC522F" w:rsidRDefault="00EC522F"/>
          <w:p w14:paraId="7865B295" w14:textId="77777777" w:rsidR="00EC522F" w:rsidRDefault="00EC522F">
            <w:r>
              <w:t>C8</w:t>
            </w:r>
          </w:p>
          <w:p w14:paraId="7080ED52" w14:textId="77777777" w:rsidR="00371E96" w:rsidRDefault="00371E96"/>
          <w:p w14:paraId="56E10019" w14:textId="77777777" w:rsidR="00865B4A" w:rsidRDefault="00865B4A"/>
          <w:p w14:paraId="08DC1983" w14:textId="10CD94A7" w:rsidR="00371E96" w:rsidRDefault="00371E96">
            <w:r>
              <w:t>C9</w:t>
            </w:r>
          </w:p>
          <w:p w14:paraId="7ECB5D19" w14:textId="77777777" w:rsidR="00371E96" w:rsidRDefault="00371E96"/>
          <w:p w14:paraId="44BA5501" w14:textId="77777777" w:rsidR="000B69D6" w:rsidRDefault="000B69D6"/>
          <w:p w14:paraId="387742BA" w14:textId="7D3711FF" w:rsidR="00371E96" w:rsidRDefault="000B69D6">
            <w:r>
              <w:t>C10</w:t>
            </w:r>
          </w:p>
          <w:p w14:paraId="52479CA2" w14:textId="77777777" w:rsidR="00371E96" w:rsidRDefault="00371E96"/>
          <w:p w14:paraId="4FCF034C" w14:textId="12901D54" w:rsidR="00865B4A" w:rsidRDefault="00865B4A"/>
          <w:p w14:paraId="49DC2565" w14:textId="77777777" w:rsidR="00EC522F" w:rsidRDefault="00EC522F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2AA0115" w14:textId="77777777" w:rsidR="001D0CBE" w:rsidRDefault="001D0CBE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Lead all aspects of the business planning process for the Operations &amp; Safety team, including quarterly forecast process and annual business plan, working with other departments as appropriate.</w:t>
            </w:r>
          </w:p>
          <w:p w14:paraId="79989268" w14:textId="77777777" w:rsidR="001D0CBE" w:rsidRDefault="001D0CBE" w:rsidP="001D0CBE">
            <w:pPr>
              <w:rPr>
                <w:rFonts w:cs="Arial"/>
                <w:bCs/>
              </w:rPr>
            </w:pPr>
          </w:p>
          <w:p w14:paraId="448956BB" w14:textId="3B733D8F" w:rsidR="009747B3" w:rsidRDefault="009747B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with Network Rail to identify opportunities, deliver efficiencies and performance improvement through a blockade strategy for CP7. Represent S</w:t>
            </w:r>
            <w:r w:rsidR="000D4EBE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 xml:space="preserve"> at all reviews and </w:t>
            </w:r>
            <w:r w:rsidR="000D4EBE">
              <w:rPr>
                <w:rFonts w:cs="Arial"/>
                <w:bCs/>
              </w:rPr>
              <w:t>planning meetings as appropriate.</w:t>
            </w:r>
          </w:p>
          <w:p w14:paraId="68D4A213" w14:textId="77777777" w:rsidR="009747B3" w:rsidRDefault="009747B3" w:rsidP="001D0CBE">
            <w:pPr>
              <w:rPr>
                <w:rFonts w:cs="Arial"/>
                <w:bCs/>
              </w:rPr>
            </w:pPr>
          </w:p>
          <w:p w14:paraId="284CA931" w14:textId="2FCA65B3" w:rsidR="001D0CBE" w:rsidRDefault="009747B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Ensure business </w:t>
            </w:r>
            <w:r w:rsidR="00F020D4">
              <w:rPr>
                <w:rFonts w:cs="Arial"/>
                <w:bCs/>
              </w:rPr>
              <w:t>readiness</w:t>
            </w:r>
            <w:r>
              <w:rPr>
                <w:rFonts w:cs="Arial"/>
                <w:bCs/>
              </w:rPr>
              <w:t xml:space="preserve"> </w:t>
            </w:r>
            <w:r w:rsidR="00F020D4">
              <w:rPr>
                <w:rFonts w:cs="Arial"/>
                <w:bCs/>
              </w:rPr>
              <w:t>for</w:t>
            </w:r>
            <w:r>
              <w:rPr>
                <w:rFonts w:cs="Arial"/>
                <w:bCs/>
              </w:rPr>
              <w:t xml:space="preserve"> </w:t>
            </w:r>
            <w:r w:rsidR="00566388">
              <w:rPr>
                <w:rFonts w:cs="Arial"/>
                <w:bCs/>
              </w:rPr>
              <w:t xml:space="preserve">engineering work </w:t>
            </w:r>
            <w:r>
              <w:rPr>
                <w:rFonts w:cs="Arial"/>
                <w:bCs/>
              </w:rPr>
              <w:t>plans, working cooperatively with all departments to deliver blockades and major engineering works successfully</w:t>
            </w:r>
            <w:r w:rsidR="000D4EBE">
              <w:rPr>
                <w:rFonts w:cs="Arial"/>
                <w:bCs/>
              </w:rPr>
              <w:t>.</w:t>
            </w:r>
          </w:p>
          <w:p w14:paraId="44AB63C4" w14:textId="77777777" w:rsidR="009747B3" w:rsidRDefault="009747B3" w:rsidP="001D0CBE">
            <w:pPr>
              <w:rPr>
                <w:rFonts w:cs="Arial"/>
                <w:bCs/>
              </w:rPr>
            </w:pPr>
          </w:p>
          <w:p w14:paraId="30A1C428" w14:textId="65E90568" w:rsidR="009747B3" w:rsidRDefault="009747B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Manage the Se Bus Contract, </w:t>
            </w:r>
            <w:r w:rsidR="000D4EBE">
              <w:rPr>
                <w:rFonts w:cs="Arial"/>
                <w:bCs/>
              </w:rPr>
              <w:t xml:space="preserve">work with supplier to ensure targeted contractual delivery while working to </w:t>
            </w:r>
            <w:r w:rsidR="00566388">
              <w:rPr>
                <w:rFonts w:cs="Arial"/>
                <w:bCs/>
              </w:rPr>
              <w:t>improve</w:t>
            </w:r>
            <w:r w:rsidR="000D4EBE">
              <w:rPr>
                <w:rFonts w:cs="Arial"/>
                <w:bCs/>
              </w:rPr>
              <w:t xml:space="preserve"> the service Se offers to customers at weekends </w:t>
            </w:r>
            <w:r w:rsidR="00566388">
              <w:rPr>
                <w:rFonts w:cs="Arial"/>
                <w:bCs/>
              </w:rPr>
              <w:t>during</w:t>
            </w:r>
            <w:r w:rsidR="000D4EBE">
              <w:rPr>
                <w:rFonts w:cs="Arial"/>
                <w:bCs/>
              </w:rPr>
              <w:t xml:space="preserve"> engineering works.</w:t>
            </w:r>
          </w:p>
          <w:p w14:paraId="12115459" w14:textId="77777777" w:rsidR="000D4EBE" w:rsidRDefault="000D4EBE" w:rsidP="001D0CBE">
            <w:pPr>
              <w:rPr>
                <w:rFonts w:cs="Arial"/>
                <w:bCs/>
              </w:rPr>
            </w:pPr>
          </w:p>
          <w:p w14:paraId="6ABB68D8" w14:textId="3010283C" w:rsidR="000D4EBE" w:rsidRDefault="00132E08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="00566388">
              <w:rPr>
                <w:rFonts w:cs="Arial"/>
                <w:bCs/>
              </w:rPr>
              <w:t>upport Alliance Schemes as directed by the Operations &amp; Safety Director.</w:t>
            </w:r>
          </w:p>
          <w:p w14:paraId="77F560FB" w14:textId="77777777" w:rsidR="00566388" w:rsidRDefault="00566388" w:rsidP="001D0CBE">
            <w:pPr>
              <w:rPr>
                <w:rFonts w:cs="Arial"/>
                <w:bCs/>
              </w:rPr>
            </w:pPr>
          </w:p>
          <w:p w14:paraId="0D748A74" w14:textId="4B91158B" w:rsidR="0000457F" w:rsidRDefault="0000457F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with the Major Programmes team to ensure Se are ready for major NR delivery schemes such as Thanet Parkway and Victoria re</w:t>
            </w:r>
            <w:r w:rsidR="00C76933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</w:rPr>
              <w:t>signalling.</w:t>
            </w:r>
          </w:p>
          <w:p w14:paraId="7F109D5B" w14:textId="77777777" w:rsidR="0000457F" w:rsidRDefault="0000457F" w:rsidP="001D0CBE">
            <w:pPr>
              <w:rPr>
                <w:rFonts w:cs="Arial"/>
                <w:bCs/>
              </w:rPr>
            </w:pPr>
          </w:p>
          <w:p w14:paraId="4792447A" w14:textId="6950DE18" w:rsidR="00C41793" w:rsidRDefault="00C4179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Report to the Operations &amp; Safety Director regarding completion of actions arising from </w:t>
            </w:r>
            <w:r w:rsidR="000D1E53">
              <w:rPr>
                <w:rFonts w:cs="Arial"/>
                <w:bCs/>
              </w:rPr>
              <w:t xml:space="preserve">internal </w:t>
            </w:r>
            <w:r>
              <w:rPr>
                <w:rFonts w:cs="Arial"/>
                <w:bCs/>
              </w:rPr>
              <w:t xml:space="preserve">reviews and </w:t>
            </w:r>
            <w:r w:rsidR="000D1E53">
              <w:rPr>
                <w:rFonts w:cs="Arial"/>
                <w:bCs/>
              </w:rPr>
              <w:t xml:space="preserve">industry report recommendations external to safety. </w:t>
            </w:r>
          </w:p>
          <w:p w14:paraId="612B7AE3" w14:textId="77777777" w:rsidR="00C41793" w:rsidRDefault="00C41793" w:rsidP="001D0CBE">
            <w:pPr>
              <w:rPr>
                <w:rFonts w:cs="Arial"/>
                <w:bCs/>
              </w:rPr>
            </w:pPr>
          </w:p>
          <w:p w14:paraId="38ABD9F2" w14:textId="77777777" w:rsidR="00C41793" w:rsidRDefault="000D1E53" w:rsidP="001D0CB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Optimise organisational design, preparation and implementation as directed by the Operations and Safety Director.</w:t>
            </w:r>
          </w:p>
          <w:p w14:paraId="0C879130" w14:textId="77777777" w:rsidR="00A762CD" w:rsidRDefault="00A762CD" w:rsidP="001D0CBE">
            <w:pPr>
              <w:rPr>
                <w:rFonts w:cs="Arial"/>
                <w:bCs/>
              </w:rPr>
            </w:pPr>
          </w:p>
          <w:p w14:paraId="09EA2F8E" w14:textId="536A3476" w:rsidR="00A762CD" w:rsidRDefault="00A762CD" w:rsidP="00A762CD">
            <w:pPr>
              <w:pStyle w:val="TLPBulletslvl1"/>
              <w:tabs>
                <w:tab w:val="num" w:pos="1440"/>
              </w:tabs>
              <w:spacing w:before="0" w:line="240" w:lineRule="auto"/>
              <w:rPr>
                <w:rFonts w:cs="Arial"/>
                <w:szCs w:val="22"/>
              </w:rPr>
            </w:pPr>
            <w:r w:rsidRPr="00865B4A">
              <w:rPr>
                <w:rFonts w:cs="Arial"/>
                <w:szCs w:val="22"/>
              </w:rPr>
              <w:t>Prepare necessary contingency and operational plans for major impacts, for example Dover Sea Wall opening, industrial action etc.</w:t>
            </w:r>
          </w:p>
          <w:p w14:paraId="46D5AB25" w14:textId="77777777" w:rsidR="000B69D6" w:rsidRDefault="000B69D6" w:rsidP="00A762CD">
            <w:pPr>
              <w:pStyle w:val="TLPBulletslvl1"/>
              <w:tabs>
                <w:tab w:val="num" w:pos="1440"/>
              </w:tabs>
              <w:spacing w:before="0" w:line="240" w:lineRule="auto"/>
              <w:rPr>
                <w:rFonts w:cs="Arial"/>
                <w:szCs w:val="22"/>
              </w:rPr>
            </w:pPr>
          </w:p>
          <w:p w14:paraId="1B93292E" w14:textId="042B51E3" w:rsidR="000B69D6" w:rsidRDefault="000B69D6" w:rsidP="00A762CD">
            <w:pPr>
              <w:pStyle w:val="TLPBulletslvl1"/>
              <w:tabs>
                <w:tab w:val="num" w:pos="1440"/>
              </w:tabs>
              <w:spacing w:before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 other activities associated with this role as instructed by the Operations Director</w:t>
            </w:r>
          </w:p>
          <w:p w14:paraId="0E1FD953" w14:textId="47D98507" w:rsidR="00A762CD" w:rsidRPr="001D0CBE" w:rsidRDefault="00A762CD" w:rsidP="001D0CBE">
            <w:pPr>
              <w:rPr>
                <w:rFonts w:cs="Arial"/>
                <w:bCs/>
              </w:rPr>
            </w:pPr>
          </w:p>
        </w:tc>
      </w:tr>
      <w:tr w:rsidR="00D8318A" w14:paraId="352DEA25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3301E3E1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A901011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33C55A82" w14:textId="77777777" w:rsidR="00251073" w:rsidRDefault="00251073" w:rsidP="005576E8">
            <w:pPr>
              <w:rPr>
                <w:b/>
              </w:rPr>
            </w:pPr>
          </w:p>
        </w:tc>
      </w:tr>
      <w:tr w:rsidR="00166FC1" w14:paraId="0116605C" w14:textId="77777777" w:rsidTr="00A762CD">
        <w:trPr>
          <w:trHeight w:val="376"/>
        </w:trPr>
        <w:tc>
          <w:tcPr>
            <w:tcW w:w="709" w:type="dxa"/>
          </w:tcPr>
          <w:p w14:paraId="3D7C5AC5" w14:textId="77777777" w:rsidR="00166FC1" w:rsidRDefault="00166FC1" w:rsidP="008C1C4E">
            <w:r>
              <w:t>D1</w:t>
            </w:r>
          </w:p>
          <w:p w14:paraId="66B2FC6C" w14:textId="77777777" w:rsidR="00166FC1" w:rsidRDefault="00166FC1" w:rsidP="008C1C4E"/>
        </w:tc>
        <w:tc>
          <w:tcPr>
            <w:tcW w:w="6379" w:type="dxa"/>
            <w:gridSpan w:val="4"/>
          </w:tcPr>
          <w:p w14:paraId="7B8AB8A9" w14:textId="77777777" w:rsidR="00166FC1" w:rsidRDefault="00166FC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DB2E26" w14:textId="77777777" w:rsidR="00166FC1" w:rsidRDefault="00166FC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19EE" w14:textId="77777777" w:rsidR="00166FC1" w:rsidRPr="008840DA" w:rsidRDefault="00166FC1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59DAD27" w14:textId="77777777" w:rsidR="00166FC1" w:rsidRDefault="00166FC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E5F" w14:textId="77777777" w:rsidR="00166FC1" w:rsidRPr="008840DA" w:rsidRDefault="008840DA" w:rsidP="008840DA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840DA" w14:paraId="22EA9B73" w14:textId="77777777" w:rsidTr="00A762CD">
        <w:tc>
          <w:tcPr>
            <w:tcW w:w="709" w:type="dxa"/>
          </w:tcPr>
          <w:p w14:paraId="527B67FC" w14:textId="77777777" w:rsidR="008840DA" w:rsidRDefault="008840DA" w:rsidP="008C1C4E">
            <w:r>
              <w:t>D2</w:t>
            </w:r>
          </w:p>
          <w:p w14:paraId="63512216" w14:textId="77777777" w:rsidR="008840DA" w:rsidRDefault="008840DA" w:rsidP="008C1C4E"/>
        </w:tc>
        <w:tc>
          <w:tcPr>
            <w:tcW w:w="6379" w:type="dxa"/>
            <w:gridSpan w:val="4"/>
          </w:tcPr>
          <w:p w14:paraId="3A958EBE" w14:textId="77777777" w:rsidR="008840DA" w:rsidRDefault="008840DA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91E651" w14:textId="77777777" w:rsidR="008840DA" w:rsidRDefault="008840DA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7C5A" w14:textId="77777777" w:rsidR="008840DA" w:rsidRPr="008840DA" w:rsidRDefault="008840DA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FD87B1D" w14:textId="77777777" w:rsidR="008840DA" w:rsidRDefault="008840DA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91A" w14:textId="77777777" w:rsidR="008840DA" w:rsidRPr="008840DA" w:rsidRDefault="008840DA" w:rsidP="003B1BDB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840DA" w14:paraId="32117DC3" w14:textId="77777777" w:rsidTr="00A762CD">
        <w:tc>
          <w:tcPr>
            <w:tcW w:w="709" w:type="dxa"/>
          </w:tcPr>
          <w:p w14:paraId="1D5A5CAD" w14:textId="77777777" w:rsidR="008840DA" w:rsidRDefault="008840DA" w:rsidP="008C1C4E">
            <w:r>
              <w:t>D3</w:t>
            </w:r>
          </w:p>
          <w:p w14:paraId="2EA220C8" w14:textId="77777777" w:rsidR="008840DA" w:rsidRDefault="008840DA" w:rsidP="008C1C4E"/>
        </w:tc>
        <w:tc>
          <w:tcPr>
            <w:tcW w:w="6379" w:type="dxa"/>
            <w:gridSpan w:val="4"/>
          </w:tcPr>
          <w:p w14:paraId="1CD05A85" w14:textId="77777777" w:rsidR="008840DA" w:rsidRDefault="008840DA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2D6D32" w14:textId="77777777" w:rsidR="008840DA" w:rsidRDefault="008840DA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D893" w14:textId="77777777" w:rsidR="008840DA" w:rsidRPr="008840DA" w:rsidRDefault="008840DA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FB6F32" w14:textId="77777777" w:rsidR="008840DA" w:rsidRDefault="008840DA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9B1" w14:textId="77777777" w:rsidR="008840DA" w:rsidRPr="008840DA" w:rsidRDefault="008840DA" w:rsidP="003B1BDB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840DA" w14:paraId="453BDF25" w14:textId="77777777" w:rsidTr="00A762CD">
        <w:trPr>
          <w:trHeight w:val="347"/>
        </w:trPr>
        <w:tc>
          <w:tcPr>
            <w:tcW w:w="709" w:type="dxa"/>
          </w:tcPr>
          <w:p w14:paraId="64128019" w14:textId="77777777" w:rsidR="008840DA" w:rsidRDefault="008840DA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34C92C41" w14:textId="77777777" w:rsidR="008840DA" w:rsidRDefault="008840DA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4B3860B" w14:textId="77777777" w:rsidR="008840DA" w:rsidRDefault="008840DA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162A11F7" w14:textId="77777777" w:rsidR="008840DA" w:rsidRDefault="008840DA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EC85" w14:textId="1913295A" w:rsidR="008840DA" w:rsidRPr="008840DA" w:rsidRDefault="008840DA" w:rsidP="003B1BDB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321A893" w14:textId="77777777" w:rsidR="008840DA" w:rsidRDefault="008840DA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C55A" w14:textId="4577F727" w:rsidR="008840DA" w:rsidRPr="008840DA" w:rsidRDefault="00B43C39" w:rsidP="008840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6FC1" w14:paraId="7CD43AAC" w14:textId="77777777" w:rsidTr="00A762CD">
        <w:trPr>
          <w:trHeight w:val="525"/>
        </w:trPr>
        <w:tc>
          <w:tcPr>
            <w:tcW w:w="709" w:type="dxa"/>
          </w:tcPr>
          <w:p w14:paraId="24EC69EE" w14:textId="77777777" w:rsidR="00166FC1" w:rsidRDefault="00166FC1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1CA8A0FC" w14:textId="77777777" w:rsidR="00166FC1" w:rsidRPr="00626E01" w:rsidRDefault="00166FC1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34AF01" w14:textId="77777777" w:rsidR="00166FC1" w:rsidRDefault="00166FC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6977" w14:textId="77777777" w:rsidR="00166FC1" w:rsidRPr="008840DA" w:rsidRDefault="00166FC1" w:rsidP="008840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21CEB98" w14:textId="77777777" w:rsidR="00166FC1" w:rsidRDefault="00166FC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F9B" w14:textId="77777777" w:rsidR="00166FC1" w:rsidRPr="008840DA" w:rsidRDefault="00DD6C05" w:rsidP="008840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6FC1" w14:paraId="6179521B" w14:textId="77777777" w:rsidTr="00A762CD">
        <w:tc>
          <w:tcPr>
            <w:tcW w:w="709" w:type="dxa"/>
          </w:tcPr>
          <w:p w14:paraId="74DBCF9E" w14:textId="77777777" w:rsidR="00166FC1" w:rsidRDefault="00166FC1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2FB8D969" w14:textId="77777777" w:rsidR="00166FC1" w:rsidRDefault="00166FC1" w:rsidP="008C1C4E">
            <w:pPr>
              <w:rPr>
                <w:b/>
              </w:rPr>
            </w:pPr>
          </w:p>
        </w:tc>
      </w:tr>
      <w:tr w:rsidR="00166FC1" w14:paraId="7368BBEC" w14:textId="77777777" w:rsidTr="00A762CD">
        <w:tc>
          <w:tcPr>
            <w:tcW w:w="709" w:type="dxa"/>
          </w:tcPr>
          <w:p w14:paraId="064FC229" w14:textId="77777777" w:rsidR="00166FC1" w:rsidRDefault="00166FC1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3CD84509" w14:textId="77777777" w:rsidR="00166FC1" w:rsidRDefault="00166FC1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4FDD2F34" w14:textId="77777777" w:rsidR="00166FC1" w:rsidRPr="00251073" w:rsidRDefault="00166FC1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166FC1" w14:paraId="275A7BD0" w14:textId="77777777" w:rsidTr="00A762CD">
        <w:tc>
          <w:tcPr>
            <w:tcW w:w="709" w:type="dxa"/>
          </w:tcPr>
          <w:p w14:paraId="13FE4B5E" w14:textId="77777777" w:rsidR="00166FC1" w:rsidRDefault="00166FC1" w:rsidP="008C1C4E"/>
        </w:tc>
        <w:tc>
          <w:tcPr>
            <w:tcW w:w="9356" w:type="dxa"/>
            <w:gridSpan w:val="8"/>
          </w:tcPr>
          <w:p w14:paraId="1D9E07BA" w14:textId="77777777" w:rsidR="00166FC1" w:rsidRDefault="00155852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529B3559" w14:textId="77777777" w:rsidR="00166FC1" w:rsidRDefault="00166FC1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166FC1" w14:paraId="2D6ADE2B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554CA44A" w14:textId="77777777" w:rsidR="00166FC1" w:rsidRDefault="00166FC1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847A0E4" w14:textId="77777777" w:rsidR="00166FC1" w:rsidRDefault="00166FC1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EF44E40" w14:textId="77777777" w:rsidR="00166FC1" w:rsidRDefault="00166FC1">
            <w:pPr>
              <w:rPr>
                <w:b/>
              </w:rPr>
            </w:pPr>
          </w:p>
        </w:tc>
      </w:tr>
      <w:tr w:rsidR="00166FC1" w14:paraId="3F0DF65A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77D9E744" w14:textId="77777777" w:rsidR="00166FC1" w:rsidRDefault="00166FC1">
            <w:r>
              <w:t>E1</w:t>
            </w:r>
          </w:p>
          <w:p w14:paraId="7D8A1F20" w14:textId="77777777" w:rsidR="00F33504" w:rsidRDefault="00F33504"/>
          <w:p w14:paraId="36D8FF8B" w14:textId="77777777" w:rsidR="00F33504" w:rsidRDefault="00F33504">
            <w:r>
              <w:t>E2</w:t>
            </w:r>
          </w:p>
          <w:p w14:paraId="3DD04725" w14:textId="77777777" w:rsidR="00F33504" w:rsidRDefault="00F33504"/>
          <w:p w14:paraId="7A463380" w14:textId="77777777" w:rsidR="00F33504" w:rsidRDefault="00F33504">
            <w:r>
              <w:t>E3</w:t>
            </w:r>
          </w:p>
          <w:p w14:paraId="7232A644" w14:textId="77777777" w:rsidR="00166FC1" w:rsidRDefault="00166FC1"/>
          <w:p w14:paraId="2DC1461A" w14:textId="77777777" w:rsidR="00865B4A" w:rsidRDefault="00865B4A"/>
          <w:p w14:paraId="1C2166C8" w14:textId="67BF3781" w:rsidR="00DD6C05" w:rsidRDefault="00DD6C05">
            <w:r>
              <w:t>E4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870C5AC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>Application of relevant HR procedures to appropriate designated level</w:t>
            </w:r>
          </w:p>
          <w:p w14:paraId="295C281C" w14:textId="77777777" w:rsidR="00814DD3" w:rsidRDefault="00814DD3" w:rsidP="00814DD3">
            <w:pPr>
              <w:rPr>
                <w:bCs/>
              </w:rPr>
            </w:pPr>
          </w:p>
          <w:p w14:paraId="4F7B7EBB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>Manage expenditure within delegated financial authorities</w:t>
            </w:r>
          </w:p>
          <w:p w14:paraId="4FB9AD7D" w14:textId="77777777" w:rsidR="00814DD3" w:rsidRDefault="00814DD3" w:rsidP="00814DD3">
            <w:pPr>
              <w:rPr>
                <w:bCs/>
              </w:rPr>
            </w:pPr>
          </w:p>
          <w:p w14:paraId="69097E12" w14:textId="51A6D15C" w:rsidR="00DD6C05" w:rsidRDefault="000D1E53" w:rsidP="00814DD3">
            <w:pPr>
              <w:rPr>
                <w:bCs/>
              </w:rPr>
            </w:pPr>
            <w:r>
              <w:rPr>
                <w:bCs/>
              </w:rPr>
              <w:t>Use of buses within the terms of the bus contract.</w:t>
            </w:r>
          </w:p>
          <w:p w14:paraId="07BA913D" w14:textId="77777777" w:rsidR="000D1E53" w:rsidRDefault="000D1E53" w:rsidP="00814DD3">
            <w:pPr>
              <w:rPr>
                <w:bCs/>
              </w:rPr>
            </w:pPr>
          </w:p>
          <w:p w14:paraId="2C366D5B" w14:textId="351AB1EF" w:rsidR="00166FC1" w:rsidRDefault="00DD6C05" w:rsidP="003F7DDD">
            <w:pPr>
              <w:rPr>
                <w:b/>
              </w:rPr>
            </w:pPr>
            <w:r>
              <w:rPr>
                <w:bCs/>
              </w:rPr>
              <w:t xml:space="preserve">Implementation of risk management actions either arising from weather or </w:t>
            </w:r>
            <w:proofErr w:type="gramStart"/>
            <w:r>
              <w:rPr>
                <w:bCs/>
              </w:rPr>
              <w:t>as a result of</w:t>
            </w:r>
            <w:proofErr w:type="gramEnd"/>
            <w:r>
              <w:rPr>
                <w:bCs/>
              </w:rPr>
              <w:t xml:space="preserve"> activity </w:t>
            </w:r>
            <w:r w:rsidR="000D1E53">
              <w:rPr>
                <w:bCs/>
              </w:rPr>
              <w:t xml:space="preserve">if a </w:t>
            </w:r>
            <w:r>
              <w:rPr>
                <w:bCs/>
              </w:rPr>
              <w:t xml:space="preserve">member of SDEG </w:t>
            </w:r>
          </w:p>
        </w:tc>
      </w:tr>
      <w:tr w:rsidR="00166FC1" w14:paraId="1EE18B20" w14:textId="77777777" w:rsidTr="00A762CD">
        <w:tc>
          <w:tcPr>
            <w:tcW w:w="709" w:type="dxa"/>
            <w:tcBorders>
              <w:top w:val="single" w:sz="4" w:space="0" w:color="auto"/>
            </w:tcBorders>
          </w:tcPr>
          <w:p w14:paraId="15B0C0AD" w14:textId="77777777" w:rsidR="00166FC1" w:rsidRDefault="00166FC1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8DC687E" w14:textId="77777777" w:rsidR="00166FC1" w:rsidRDefault="00166FC1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7AA173B9" w14:textId="77777777" w:rsidR="00166FC1" w:rsidRDefault="00166FC1">
            <w:pPr>
              <w:rPr>
                <w:b/>
              </w:rPr>
            </w:pPr>
          </w:p>
        </w:tc>
      </w:tr>
      <w:tr w:rsidR="00166FC1" w14:paraId="51786E16" w14:textId="77777777" w:rsidTr="00A762CD">
        <w:tc>
          <w:tcPr>
            <w:tcW w:w="709" w:type="dxa"/>
            <w:tcBorders>
              <w:bottom w:val="single" w:sz="4" w:space="0" w:color="auto"/>
            </w:tcBorders>
          </w:tcPr>
          <w:p w14:paraId="4DA31B79" w14:textId="77777777" w:rsidR="00166FC1" w:rsidRDefault="00166FC1">
            <w:r>
              <w:t>F1</w:t>
            </w:r>
          </w:p>
          <w:p w14:paraId="0561CA6D" w14:textId="77777777" w:rsidR="00F33504" w:rsidRDefault="00F33504"/>
          <w:p w14:paraId="52EB6719" w14:textId="77777777" w:rsidR="00C76933" w:rsidRDefault="00C76933"/>
          <w:p w14:paraId="139F666E" w14:textId="5A178237" w:rsidR="00F33504" w:rsidRDefault="00F33504">
            <w:r>
              <w:t>F2</w:t>
            </w:r>
          </w:p>
          <w:p w14:paraId="65295197" w14:textId="77777777" w:rsidR="00F33504" w:rsidRDefault="00F33504"/>
          <w:p w14:paraId="7D2C0091" w14:textId="77777777" w:rsidR="00F33504" w:rsidRDefault="00F33504"/>
          <w:p w14:paraId="1C1EBE67" w14:textId="77777777" w:rsidR="00F33504" w:rsidRDefault="00F33504">
            <w:r>
              <w:t>F3</w:t>
            </w:r>
          </w:p>
          <w:p w14:paraId="627B357B" w14:textId="77777777" w:rsidR="00166FC1" w:rsidRDefault="00166FC1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26E44AE" w14:textId="2050E2BF" w:rsidR="00166FC1" w:rsidRDefault="00C76933" w:rsidP="000D4EBE">
            <w:pPr>
              <w:rPr>
                <w:bCs/>
              </w:rPr>
            </w:pPr>
            <w:r>
              <w:rPr>
                <w:bCs/>
              </w:rPr>
              <w:t xml:space="preserve">Working with multiple teams across a </w:t>
            </w:r>
            <w:proofErr w:type="gramStart"/>
            <w:r>
              <w:rPr>
                <w:bCs/>
              </w:rPr>
              <w:t>wide ranging</w:t>
            </w:r>
            <w:proofErr w:type="gramEnd"/>
            <w:r>
              <w:rPr>
                <w:bCs/>
              </w:rPr>
              <w:t xml:space="preserve"> remit to improve delivery to customers at points of major change.</w:t>
            </w:r>
          </w:p>
          <w:p w14:paraId="3E5E87EB" w14:textId="77777777" w:rsidR="00C76933" w:rsidRDefault="00C76933" w:rsidP="000D4EBE">
            <w:pPr>
              <w:rPr>
                <w:bCs/>
              </w:rPr>
            </w:pPr>
          </w:p>
          <w:p w14:paraId="560C8389" w14:textId="77777777" w:rsidR="00C76933" w:rsidRDefault="00C76933" w:rsidP="000D4EBE">
            <w:pPr>
              <w:rPr>
                <w:bCs/>
              </w:rPr>
            </w:pPr>
            <w:r>
              <w:rPr>
                <w:bCs/>
              </w:rPr>
              <w:t>Preparing business plans, proposals and business cases to support delivery of the Operations &amp; Safety directorate.</w:t>
            </w:r>
          </w:p>
          <w:p w14:paraId="772E0812" w14:textId="77777777" w:rsidR="00C76933" w:rsidRDefault="00C76933" w:rsidP="000D4EBE">
            <w:pPr>
              <w:rPr>
                <w:bCs/>
              </w:rPr>
            </w:pPr>
          </w:p>
          <w:p w14:paraId="5BAB30B5" w14:textId="27DF80B1" w:rsidR="00C76933" w:rsidRPr="000D1E53" w:rsidRDefault="00351924" w:rsidP="000D4EBE">
            <w:pPr>
              <w:rPr>
                <w:bCs/>
              </w:rPr>
            </w:pPr>
            <w:r>
              <w:rPr>
                <w:bCs/>
              </w:rPr>
              <w:t>Working with NR, ensuring Se’s perspectives and objectives are considered within NR plans and influencing NR to deliver effectively.</w:t>
            </w:r>
          </w:p>
        </w:tc>
      </w:tr>
    </w:tbl>
    <w:p w14:paraId="1424362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D84FEC" w14:paraId="0CA90530" w14:textId="77777777">
        <w:tc>
          <w:tcPr>
            <w:tcW w:w="709" w:type="dxa"/>
            <w:tcBorders>
              <w:top w:val="single" w:sz="4" w:space="0" w:color="auto"/>
            </w:tcBorders>
          </w:tcPr>
          <w:p w14:paraId="4C3D7EA8" w14:textId="271BB537" w:rsidR="00D84FEC" w:rsidRDefault="00D84FEC" w:rsidP="001F19A9">
            <w:pPr>
              <w:pStyle w:val="Heading3"/>
              <w:keepNext w:val="0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62D125EE" w14:textId="77777777" w:rsidR="00D84FEC" w:rsidRDefault="00D84FEC">
            <w:pPr>
              <w:rPr>
                <w:b/>
              </w:rPr>
            </w:pPr>
          </w:p>
        </w:tc>
      </w:tr>
      <w:tr w:rsidR="008840DA" w14:paraId="366F07F5" w14:textId="77777777">
        <w:tc>
          <w:tcPr>
            <w:tcW w:w="709" w:type="dxa"/>
          </w:tcPr>
          <w:p w14:paraId="4B38C13A" w14:textId="77777777" w:rsidR="008840DA" w:rsidRDefault="008840DA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0"/>
          </w:tcPr>
          <w:p w14:paraId="3C8787BC" w14:textId="77777777" w:rsidR="008840DA" w:rsidRDefault="008840DA" w:rsidP="0038713E">
            <w:pPr>
              <w:rPr>
                <w:b/>
              </w:rPr>
            </w:pPr>
          </w:p>
        </w:tc>
      </w:tr>
      <w:tr w:rsidR="009E3341" w14:paraId="64692A98" w14:textId="77777777">
        <w:tc>
          <w:tcPr>
            <w:tcW w:w="709" w:type="dxa"/>
          </w:tcPr>
          <w:p w14:paraId="5C911D44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10"/>
          </w:tcPr>
          <w:p w14:paraId="461C9CAF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52B3BD64" w14:textId="77777777" w:rsidR="009E3341" w:rsidRDefault="009E3341">
            <w:pPr>
              <w:rPr>
                <w:bCs/>
              </w:rPr>
            </w:pPr>
          </w:p>
          <w:p w14:paraId="54757AAC" w14:textId="5F5BE352" w:rsidR="004C1E42" w:rsidRDefault="000D4EBE" w:rsidP="004C1E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Educated to degree level</w:t>
            </w:r>
            <w:r w:rsidR="004C1E42">
              <w:rPr>
                <w:rFonts w:cs="Arial"/>
                <w:bCs/>
              </w:rPr>
              <w:t>.</w:t>
            </w:r>
          </w:p>
          <w:p w14:paraId="39EFEE0E" w14:textId="77777777" w:rsidR="004C1E42" w:rsidRDefault="004C1E42" w:rsidP="004C1E42">
            <w:pPr>
              <w:rPr>
                <w:rFonts w:cs="Arial"/>
                <w:bCs/>
              </w:rPr>
            </w:pPr>
          </w:p>
          <w:p w14:paraId="448C5332" w14:textId="77777777" w:rsidR="004C1E42" w:rsidRDefault="004C1E42" w:rsidP="004C1E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Proven track record of line management experience to a senior level in operations management, preferably within the rail industry.</w:t>
            </w:r>
          </w:p>
          <w:p w14:paraId="56608346" w14:textId="77777777" w:rsidR="004C1E42" w:rsidRDefault="004C1E42" w:rsidP="004C1E42">
            <w:pPr>
              <w:rPr>
                <w:rFonts w:cs="Arial"/>
                <w:bCs/>
              </w:rPr>
            </w:pPr>
          </w:p>
          <w:p w14:paraId="4F98F3AA" w14:textId="77777777" w:rsidR="004C1E42" w:rsidRDefault="004C1E42" w:rsidP="004C1E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Good knowledge of the contractual arrangements affecting train service performance.</w:t>
            </w:r>
          </w:p>
          <w:p w14:paraId="6AA5598B" w14:textId="77777777" w:rsidR="009E3341" w:rsidRDefault="009E3341" w:rsidP="000D4EBE">
            <w:pPr>
              <w:rPr>
                <w:b/>
              </w:rPr>
            </w:pPr>
          </w:p>
        </w:tc>
      </w:tr>
      <w:tr w:rsidR="009E3341" w14:paraId="615D175B" w14:textId="77777777">
        <w:tc>
          <w:tcPr>
            <w:tcW w:w="709" w:type="dxa"/>
          </w:tcPr>
          <w:p w14:paraId="31940826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0"/>
          </w:tcPr>
          <w:p w14:paraId="1709681C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5EEBA687" w14:textId="77777777" w:rsidR="009E3341" w:rsidRDefault="009E3341" w:rsidP="00BD4042">
            <w:pPr>
              <w:rPr>
                <w:bCs/>
              </w:rPr>
            </w:pPr>
          </w:p>
          <w:p w14:paraId="11607744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Strong leadership skills - </w:t>
            </w:r>
            <w:r>
              <w:rPr>
                <w:bCs/>
              </w:rPr>
              <w:t>Sets direction and inspires commitment to achieve common goals. Coaches to improve performance.</w:t>
            </w:r>
          </w:p>
          <w:p w14:paraId="3CCC2699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7EF18C93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 xml:space="preserve">Influencing skills – Gains commitment to deliver the desired result, </w:t>
            </w:r>
            <w:proofErr w:type="gramStart"/>
            <w:r>
              <w:rPr>
                <w:bCs/>
              </w:rPr>
              <w:t>through the use of</w:t>
            </w:r>
            <w:proofErr w:type="gramEnd"/>
            <w:r>
              <w:rPr>
                <w:bCs/>
              </w:rPr>
              <w:t xml:space="preserve"> a range of interpersonal skills, focussing on persuasion, negotiation and selling.</w:t>
            </w:r>
          </w:p>
          <w:p w14:paraId="13AAF12B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1FF2CB93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Team working – Can develop productive, motivated teams. </w:t>
            </w:r>
          </w:p>
          <w:p w14:paraId="40788EC9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6C0A7A53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Planning &amp; Organising skills – Translates strategy and goals into practical working plans, modifying plans quickly in the light of changing business priorities. </w:t>
            </w:r>
          </w:p>
          <w:p w14:paraId="6903C307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505DCD91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Computer literate with the ability to think strategically and creatively.</w:t>
            </w:r>
          </w:p>
          <w:p w14:paraId="39A40E57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65C6F133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Analytical and financial competence.</w:t>
            </w:r>
          </w:p>
          <w:p w14:paraId="1C202A50" w14:textId="77777777" w:rsidR="00814DD3" w:rsidRDefault="00814DD3" w:rsidP="00814DD3">
            <w:pPr>
              <w:rPr>
                <w:rFonts w:cs="Arial"/>
                <w:bCs/>
              </w:rPr>
            </w:pPr>
          </w:p>
          <w:p w14:paraId="19041169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 xml:space="preserve">Commercial Awareness – Uses understanding of Southeastern and its position within the marketplace to grow the business. Understands risks and their likely financial consequences. </w:t>
            </w:r>
          </w:p>
          <w:p w14:paraId="4C1CB486" w14:textId="77777777" w:rsidR="00814DD3" w:rsidRDefault="00814DD3" w:rsidP="00814DD3">
            <w:pPr>
              <w:rPr>
                <w:bCs/>
              </w:rPr>
            </w:pPr>
          </w:p>
          <w:p w14:paraId="0446482F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>Customer Focus – Seeks and acts upon customer feedback to grow the business, ensuring the team keep up to date with customer needs and anticipate future trends.</w:t>
            </w:r>
          </w:p>
          <w:p w14:paraId="174BDBD7" w14:textId="77777777" w:rsidR="00814DD3" w:rsidRDefault="00814DD3" w:rsidP="00814DD3">
            <w:pPr>
              <w:rPr>
                <w:bCs/>
              </w:rPr>
            </w:pPr>
          </w:p>
          <w:p w14:paraId="543D7363" w14:textId="77777777" w:rsidR="009E3341" w:rsidRDefault="00814DD3" w:rsidP="00814DD3">
            <w:pPr>
              <w:rPr>
                <w:bCs/>
              </w:rPr>
            </w:pPr>
            <w:r>
              <w:rPr>
                <w:bCs/>
              </w:rPr>
              <w:t>Adding Value – Demonstrates an outstanding determination to improve results.</w:t>
            </w:r>
          </w:p>
          <w:p w14:paraId="5480843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123C0B5F" w14:textId="77777777">
        <w:tc>
          <w:tcPr>
            <w:tcW w:w="709" w:type="dxa"/>
          </w:tcPr>
          <w:p w14:paraId="4B55F50B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10"/>
          </w:tcPr>
          <w:p w14:paraId="3BA691EB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0038C5EF" w14:textId="77777777" w:rsidR="009E3341" w:rsidRDefault="009E3341">
            <w:pPr>
              <w:rPr>
                <w:bCs/>
              </w:rPr>
            </w:pPr>
          </w:p>
          <w:p w14:paraId="1D0E01F9" w14:textId="77777777" w:rsidR="00814DD3" w:rsidRDefault="00814DD3" w:rsidP="00814DD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Results orientated with the ability to motivate to meet demanding targets.</w:t>
            </w:r>
          </w:p>
          <w:p w14:paraId="3D6E5E03" w14:textId="77777777" w:rsidR="009E3341" w:rsidRDefault="009E3341">
            <w:pPr>
              <w:rPr>
                <w:bCs/>
              </w:rPr>
            </w:pPr>
          </w:p>
          <w:p w14:paraId="4E1975ED" w14:textId="77777777" w:rsidR="00814DD3" w:rsidRDefault="00814DD3" w:rsidP="00814DD3">
            <w:pPr>
              <w:rPr>
                <w:bCs/>
              </w:rPr>
            </w:pPr>
            <w:r>
              <w:rPr>
                <w:bCs/>
              </w:rPr>
              <w:t>Adding Value – Demonstrates an outstanding determination to improve results.</w:t>
            </w:r>
          </w:p>
          <w:p w14:paraId="41CDE0F6" w14:textId="77777777" w:rsidR="009E3341" w:rsidRDefault="009E3341">
            <w:pPr>
              <w:rPr>
                <w:b/>
              </w:rPr>
            </w:pPr>
          </w:p>
        </w:tc>
      </w:tr>
      <w:tr w:rsidR="009E3341" w14:paraId="6BF111D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48CF25C" w14:textId="77777777" w:rsidR="009E3341" w:rsidRDefault="009E3341" w:rsidP="008840DA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gridSpan w:val="10"/>
            <w:tcBorders>
              <w:bottom w:val="single" w:sz="4" w:space="0" w:color="auto"/>
            </w:tcBorders>
          </w:tcPr>
          <w:p w14:paraId="4E3A8BC3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7109799" w14:textId="77777777" w:rsidR="009E3341" w:rsidRDefault="009E3341">
            <w:pPr>
              <w:rPr>
                <w:b/>
              </w:rPr>
            </w:pPr>
          </w:p>
          <w:p w14:paraId="1294A7AB" w14:textId="77777777" w:rsidR="009E3341" w:rsidRPr="00814DD3" w:rsidRDefault="00814DD3">
            <w:r w:rsidRPr="00814DD3">
              <w:t>Ability to network</w:t>
            </w:r>
            <w:r>
              <w:t xml:space="preserve"> across the industry to learn from others and develop and implement good practice from elsewhere</w:t>
            </w:r>
          </w:p>
        </w:tc>
      </w:tr>
      <w:tr w:rsidR="00626E01" w14:paraId="43E25855" w14:textId="77777777" w:rsidTr="00786F40">
        <w:tc>
          <w:tcPr>
            <w:tcW w:w="709" w:type="dxa"/>
          </w:tcPr>
          <w:p w14:paraId="1A46C405" w14:textId="77777777" w:rsidR="00626E01" w:rsidRDefault="00B47F19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10"/>
          </w:tcPr>
          <w:p w14:paraId="27DAB5FB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C84209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3900707D" w14:textId="77777777" w:rsidTr="00786F40">
        <w:tc>
          <w:tcPr>
            <w:tcW w:w="709" w:type="dxa"/>
          </w:tcPr>
          <w:p w14:paraId="5D637FCE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D2AF440" w14:textId="77777777" w:rsidR="00626E01" w:rsidRDefault="00626E01" w:rsidP="00786F40"/>
        </w:tc>
        <w:tc>
          <w:tcPr>
            <w:tcW w:w="3970" w:type="dxa"/>
            <w:gridSpan w:val="4"/>
          </w:tcPr>
          <w:p w14:paraId="03E9231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21F46CD8" w14:textId="77777777" w:rsidR="00626E01" w:rsidRDefault="00F6476A" w:rsidP="00786F40">
            <w:r>
              <w:t>As per budget</w:t>
            </w:r>
          </w:p>
        </w:tc>
      </w:tr>
      <w:tr w:rsidR="00626E01" w14:paraId="288451EA" w14:textId="77777777" w:rsidTr="00786F40">
        <w:tc>
          <w:tcPr>
            <w:tcW w:w="709" w:type="dxa"/>
          </w:tcPr>
          <w:p w14:paraId="60E832F7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6F8197A" w14:textId="77777777" w:rsidR="00626E01" w:rsidRDefault="00626E01" w:rsidP="00786F40"/>
        </w:tc>
        <w:tc>
          <w:tcPr>
            <w:tcW w:w="3970" w:type="dxa"/>
            <w:gridSpan w:val="4"/>
          </w:tcPr>
          <w:p w14:paraId="36F63EC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lastRenderedPageBreak/>
              <w:t>Financial – Other:</w:t>
            </w:r>
          </w:p>
        </w:tc>
        <w:tc>
          <w:tcPr>
            <w:tcW w:w="5386" w:type="dxa"/>
            <w:gridSpan w:val="6"/>
          </w:tcPr>
          <w:p w14:paraId="1FD42461" w14:textId="0364656C" w:rsidR="00626E01" w:rsidRDefault="000D4EBE" w:rsidP="00786F40">
            <w:r>
              <w:t>Bus Contract £7-13M</w:t>
            </w:r>
          </w:p>
        </w:tc>
      </w:tr>
      <w:tr w:rsidR="00626E01" w14:paraId="532DAAD1" w14:textId="77777777" w:rsidTr="00786F40">
        <w:tc>
          <w:tcPr>
            <w:tcW w:w="709" w:type="dxa"/>
          </w:tcPr>
          <w:p w14:paraId="77474C14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53EA5D0" w14:textId="77777777" w:rsidR="00626E01" w:rsidRDefault="00626E01" w:rsidP="00786F40"/>
        </w:tc>
        <w:tc>
          <w:tcPr>
            <w:tcW w:w="3970" w:type="dxa"/>
            <w:gridSpan w:val="4"/>
          </w:tcPr>
          <w:p w14:paraId="4F6BCA7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75442ADF" w14:textId="632CA2B8" w:rsidR="00626E01" w:rsidRDefault="00626E01" w:rsidP="00786F40"/>
        </w:tc>
      </w:tr>
      <w:tr w:rsidR="00626E01" w14:paraId="16142F4A" w14:textId="77777777" w:rsidTr="00786F40">
        <w:tc>
          <w:tcPr>
            <w:tcW w:w="709" w:type="dxa"/>
          </w:tcPr>
          <w:p w14:paraId="19FEECDE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4"/>
          </w:tcPr>
          <w:p w14:paraId="63D1CB6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275F915" w14:textId="77777777" w:rsidR="00626E01" w:rsidRDefault="00626E01" w:rsidP="00786F40"/>
        </w:tc>
        <w:tc>
          <w:tcPr>
            <w:tcW w:w="5386" w:type="dxa"/>
            <w:gridSpan w:val="6"/>
          </w:tcPr>
          <w:p w14:paraId="02E13E00" w14:textId="2AD67E7A" w:rsidR="00626E01" w:rsidRDefault="00626E01" w:rsidP="00786F40"/>
        </w:tc>
      </w:tr>
      <w:tr w:rsidR="00626E01" w14:paraId="018E81AA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1F66F795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4C34C8D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009D333" w14:textId="77777777" w:rsidR="00626E01" w:rsidRDefault="00626E01" w:rsidP="00786F40"/>
          <w:p w14:paraId="33F7FF01" w14:textId="77777777" w:rsidR="00626E01" w:rsidRDefault="00626E01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4BFE9B09" w14:textId="426B5631" w:rsidR="00626E01" w:rsidRDefault="00626E01" w:rsidP="00786F40"/>
        </w:tc>
      </w:tr>
      <w:tr w:rsidR="00D84FEC" w14:paraId="07788B8F" w14:textId="77777777">
        <w:tc>
          <w:tcPr>
            <w:tcW w:w="709" w:type="dxa"/>
            <w:tcBorders>
              <w:top w:val="single" w:sz="4" w:space="0" w:color="auto"/>
            </w:tcBorders>
          </w:tcPr>
          <w:p w14:paraId="5310FE9E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4E04E58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2CE5D065" w14:textId="77777777" w:rsidR="00D84FEC" w:rsidRDefault="00D84FEC">
            <w:pPr>
              <w:rPr>
                <w:b/>
              </w:rPr>
            </w:pPr>
          </w:p>
        </w:tc>
      </w:tr>
      <w:tr w:rsidR="00D84FEC" w14:paraId="6668C46E" w14:textId="77777777">
        <w:tc>
          <w:tcPr>
            <w:tcW w:w="709" w:type="dxa"/>
          </w:tcPr>
          <w:p w14:paraId="368EB0C3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14:paraId="1B1FEB14" w14:textId="77777777" w:rsidR="00D84FEC" w:rsidRDefault="00D84FEC">
            <w:r>
              <w:t>Prepared By:</w:t>
            </w:r>
          </w:p>
          <w:p w14:paraId="328A279F" w14:textId="77777777" w:rsidR="00D84FEC" w:rsidRDefault="00D84FEC"/>
        </w:tc>
        <w:tc>
          <w:tcPr>
            <w:tcW w:w="2126" w:type="dxa"/>
            <w:gridSpan w:val="4"/>
          </w:tcPr>
          <w:p w14:paraId="791ED1E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2E688921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14:paraId="7B617F97" w14:textId="77777777" w:rsidR="00D84FEC" w:rsidRDefault="00D84FEC">
            <w:r>
              <w:t>______________</w:t>
            </w:r>
          </w:p>
        </w:tc>
      </w:tr>
      <w:tr w:rsidR="00D84FEC" w14:paraId="7ADA241F" w14:textId="77777777" w:rsidTr="008840DA">
        <w:tc>
          <w:tcPr>
            <w:tcW w:w="709" w:type="dxa"/>
            <w:tcBorders>
              <w:bottom w:val="single" w:sz="4" w:space="0" w:color="auto"/>
            </w:tcBorders>
          </w:tcPr>
          <w:p w14:paraId="5C44A479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066A11B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0C3F58E9" w14:textId="77777777" w:rsidR="00D84FEC" w:rsidRDefault="00D84FEC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75429CC9" w14:textId="77777777" w:rsidR="00D84FEC" w:rsidRDefault="00D84FEC">
            <w:r>
              <w:t>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85C96D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028D1E90" w14:textId="77777777" w:rsidR="00D84FEC" w:rsidRDefault="00D84FEC">
            <w:r>
              <w:t>______________</w:t>
            </w:r>
          </w:p>
        </w:tc>
      </w:tr>
      <w:tr w:rsidR="00F049B7" w:rsidRPr="00046324" w14:paraId="3FB1FEB0" w14:textId="77777777" w:rsidTr="00884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8A0BE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B5D95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FB51355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6C72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285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2FBBC3E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5E2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A3F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F65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E965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77B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03C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774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2F97B2A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7433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A8E1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8EA0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7162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A1A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E170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5C16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FA7032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6BF9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01FF830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13375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8A0108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40C4A7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CF9A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1805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83B3FD4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55BB9E0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23FC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839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6145708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C73867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BCC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5E6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58B6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B1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C4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3F4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588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646739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B59E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3D8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6650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F72D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5C17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C4C9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626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7CC7391" w14:textId="77777777" w:rsidR="00D84FEC" w:rsidRDefault="00D84FEC" w:rsidP="00834DE6"/>
    <w:sectPr w:rsidR="00D84FEC" w:rsidSect="00826F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7442" w14:textId="77777777" w:rsidR="0057532A" w:rsidRDefault="0057532A">
      <w:r>
        <w:separator/>
      </w:r>
    </w:p>
  </w:endnote>
  <w:endnote w:type="continuationSeparator" w:id="0">
    <w:p w14:paraId="7F3A36A3" w14:textId="77777777" w:rsidR="0057532A" w:rsidRDefault="0057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3DDD" w14:textId="77777777" w:rsidR="00A762CD" w:rsidRDefault="00A76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A8EC" w14:textId="77777777" w:rsidR="00826F0C" w:rsidRDefault="00826F0C">
    <w:pPr>
      <w:pStyle w:val="Footer"/>
      <w:rPr>
        <w:sz w:val="16"/>
        <w:szCs w:val="16"/>
      </w:rPr>
    </w:pPr>
    <w:r w:rsidRPr="00826F0C">
      <w:rPr>
        <w:sz w:val="16"/>
        <w:szCs w:val="16"/>
      </w:rPr>
      <w:t>Issue 1</w:t>
    </w:r>
    <w:r w:rsidRPr="00826F0C">
      <w:rPr>
        <w:sz w:val="16"/>
        <w:szCs w:val="16"/>
      </w:rPr>
      <w:tab/>
    </w:r>
    <w:r w:rsidR="006E4C6D" w:rsidRPr="00826F0C">
      <w:rPr>
        <w:sz w:val="16"/>
        <w:szCs w:val="16"/>
      </w:rPr>
      <w:fldChar w:fldCharType="begin"/>
    </w:r>
    <w:r w:rsidRPr="00826F0C">
      <w:rPr>
        <w:sz w:val="16"/>
        <w:szCs w:val="16"/>
      </w:rPr>
      <w:instrText xml:space="preserve"> PAGE   \* MERGEFORMAT </w:instrText>
    </w:r>
    <w:r w:rsidR="006E4C6D" w:rsidRPr="00826F0C">
      <w:rPr>
        <w:sz w:val="16"/>
        <w:szCs w:val="16"/>
      </w:rPr>
      <w:fldChar w:fldCharType="separate"/>
    </w:r>
    <w:r w:rsidR="003F7DDD">
      <w:rPr>
        <w:noProof/>
        <w:sz w:val="16"/>
        <w:szCs w:val="16"/>
      </w:rPr>
      <w:t>6</w:t>
    </w:r>
    <w:r w:rsidR="006E4C6D" w:rsidRPr="00826F0C">
      <w:rPr>
        <w:sz w:val="16"/>
        <w:szCs w:val="16"/>
      </w:rPr>
      <w:fldChar w:fldCharType="end"/>
    </w:r>
    <w:r w:rsidRPr="00826F0C">
      <w:rPr>
        <w:sz w:val="16"/>
        <w:szCs w:val="16"/>
      </w:rPr>
      <w:t xml:space="preserve"> of </w:t>
    </w:r>
    <w:fldSimple w:instr=" NUMPAGES   \* MERGEFORMAT ">
      <w:r w:rsidR="003F7DDD" w:rsidRPr="003F7DDD">
        <w:rPr>
          <w:noProof/>
          <w:sz w:val="16"/>
          <w:szCs w:val="16"/>
        </w:rPr>
        <w:t>6</w:t>
      </w:r>
    </w:fldSimple>
  </w:p>
  <w:p w14:paraId="6ABE3BAD" w14:textId="77777777" w:rsidR="00826F0C" w:rsidRPr="00826F0C" w:rsidRDefault="00155852">
    <w:pPr>
      <w:pStyle w:val="Footer"/>
      <w:rPr>
        <w:sz w:val="16"/>
        <w:szCs w:val="16"/>
      </w:rPr>
    </w:pPr>
    <w:r>
      <w:rPr>
        <w:sz w:val="16"/>
        <w:szCs w:val="16"/>
      </w:rPr>
      <w:t>August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39F4" w14:textId="77777777" w:rsidR="00A762CD" w:rsidRDefault="00A76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21EB" w14:textId="77777777" w:rsidR="0057532A" w:rsidRDefault="0057532A">
      <w:r>
        <w:separator/>
      </w:r>
    </w:p>
  </w:footnote>
  <w:footnote w:type="continuationSeparator" w:id="0">
    <w:p w14:paraId="054BE87A" w14:textId="77777777" w:rsidR="0057532A" w:rsidRDefault="0057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7D12" w14:textId="77777777" w:rsidR="00814DD3" w:rsidRDefault="006E4C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D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0E905" w14:textId="77777777" w:rsidR="00814DD3" w:rsidRDefault="00814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9313" w14:textId="77777777" w:rsidR="00814DD3" w:rsidRDefault="008840DA">
    <w:pPr>
      <w:pStyle w:val="Header"/>
    </w:pPr>
    <w:r>
      <w:rPr>
        <w:noProof/>
        <w:lang w:eastAsia="en-GB"/>
      </w:rPr>
      <w:drawing>
        <wp:inline distT="0" distB="0" distL="0" distR="0" wp14:anchorId="2C3806EE" wp14:editId="7C6E9B85">
          <wp:extent cx="2247900" cy="352425"/>
          <wp:effectExtent l="19050" t="0" r="0" b="0"/>
          <wp:docPr id="4" name="Picture 2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591D0B" w14:textId="77777777" w:rsidR="00814DD3" w:rsidRDefault="00814DD3">
    <w:pPr>
      <w:pStyle w:val="Header"/>
    </w:pPr>
  </w:p>
  <w:p w14:paraId="74BBDA01" w14:textId="77777777" w:rsidR="00814DD3" w:rsidRDefault="00814DD3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5A73C3E" w14:textId="77777777" w:rsidR="00814DD3" w:rsidRDefault="00814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91A9B"/>
    <w:multiLevelType w:val="hybridMultilevel"/>
    <w:tmpl w:val="6ABE7F22"/>
    <w:lvl w:ilvl="0" w:tplc="A67201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074564">
    <w:abstractNumId w:val="2"/>
  </w:num>
  <w:num w:numId="2" w16cid:durableId="39940708">
    <w:abstractNumId w:val="4"/>
  </w:num>
  <w:num w:numId="3" w16cid:durableId="1101754626">
    <w:abstractNumId w:val="3"/>
  </w:num>
  <w:num w:numId="4" w16cid:durableId="79759225">
    <w:abstractNumId w:val="1"/>
  </w:num>
  <w:num w:numId="5" w16cid:durableId="1945109846">
    <w:abstractNumId w:val="7"/>
  </w:num>
  <w:num w:numId="6" w16cid:durableId="1969312388">
    <w:abstractNumId w:val="10"/>
  </w:num>
  <w:num w:numId="7" w16cid:durableId="302852979">
    <w:abstractNumId w:val="0"/>
  </w:num>
  <w:num w:numId="8" w16cid:durableId="1844512447">
    <w:abstractNumId w:val="5"/>
  </w:num>
  <w:num w:numId="9" w16cid:durableId="598877514">
    <w:abstractNumId w:val="6"/>
  </w:num>
  <w:num w:numId="10" w16cid:durableId="1194878687">
    <w:abstractNumId w:val="8"/>
  </w:num>
  <w:num w:numId="11" w16cid:durableId="1705593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0EB3"/>
    <w:rsid w:val="0000457F"/>
    <w:rsid w:val="000246A8"/>
    <w:rsid w:val="000B69D6"/>
    <w:rsid w:val="000D1E53"/>
    <w:rsid w:val="000D4EBE"/>
    <w:rsid w:val="00124F1E"/>
    <w:rsid w:val="00132E08"/>
    <w:rsid w:val="00144817"/>
    <w:rsid w:val="00155852"/>
    <w:rsid w:val="00166FC1"/>
    <w:rsid w:val="00167C88"/>
    <w:rsid w:val="001A45D5"/>
    <w:rsid w:val="001D0CBE"/>
    <w:rsid w:val="001F19A9"/>
    <w:rsid w:val="00224449"/>
    <w:rsid w:val="00251073"/>
    <w:rsid w:val="00276134"/>
    <w:rsid w:val="002A7F2C"/>
    <w:rsid w:val="0032056B"/>
    <w:rsid w:val="003217E5"/>
    <w:rsid w:val="003218D6"/>
    <w:rsid w:val="00351924"/>
    <w:rsid w:val="00366768"/>
    <w:rsid w:val="00371E96"/>
    <w:rsid w:val="00373A9A"/>
    <w:rsid w:val="00373C1B"/>
    <w:rsid w:val="003817C4"/>
    <w:rsid w:val="0038713E"/>
    <w:rsid w:val="00395891"/>
    <w:rsid w:val="003E3549"/>
    <w:rsid w:val="003F7DDD"/>
    <w:rsid w:val="004006DA"/>
    <w:rsid w:val="00404993"/>
    <w:rsid w:val="00440313"/>
    <w:rsid w:val="004540EB"/>
    <w:rsid w:val="004668D5"/>
    <w:rsid w:val="004C1E42"/>
    <w:rsid w:val="004F02D4"/>
    <w:rsid w:val="004F0CE0"/>
    <w:rsid w:val="00533BED"/>
    <w:rsid w:val="005576E8"/>
    <w:rsid w:val="00566388"/>
    <w:rsid w:val="0057532A"/>
    <w:rsid w:val="005903EA"/>
    <w:rsid w:val="005D56BE"/>
    <w:rsid w:val="005D57B8"/>
    <w:rsid w:val="006132AF"/>
    <w:rsid w:val="00626E01"/>
    <w:rsid w:val="00675296"/>
    <w:rsid w:val="006A260A"/>
    <w:rsid w:val="006D118E"/>
    <w:rsid w:val="006D3981"/>
    <w:rsid w:val="006D57A5"/>
    <w:rsid w:val="006E4C6D"/>
    <w:rsid w:val="006F3B30"/>
    <w:rsid w:val="00745576"/>
    <w:rsid w:val="00745F30"/>
    <w:rsid w:val="00786F40"/>
    <w:rsid w:val="0079548B"/>
    <w:rsid w:val="007C70CD"/>
    <w:rsid w:val="007F5944"/>
    <w:rsid w:val="00814DD3"/>
    <w:rsid w:val="00826F0C"/>
    <w:rsid w:val="00834DE6"/>
    <w:rsid w:val="00856253"/>
    <w:rsid w:val="00865B4A"/>
    <w:rsid w:val="008840DA"/>
    <w:rsid w:val="008A2186"/>
    <w:rsid w:val="008C1C4E"/>
    <w:rsid w:val="009747B3"/>
    <w:rsid w:val="009D5B00"/>
    <w:rsid w:val="009E14D2"/>
    <w:rsid w:val="009E3341"/>
    <w:rsid w:val="00A1622D"/>
    <w:rsid w:val="00A24231"/>
    <w:rsid w:val="00A259D2"/>
    <w:rsid w:val="00A46BE8"/>
    <w:rsid w:val="00A73596"/>
    <w:rsid w:val="00A762CD"/>
    <w:rsid w:val="00AB387A"/>
    <w:rsid w:val="00AC71CC"/>
    <w:rsid w:val="00AF37D1"/>
    <w:rsid w:val="00B1706A"/>
    <w:rsid w:val="00B4266A"/>
    <w:rsid w:val="00B43C39"/>
    <w:rsid w:val="00B47F19"/>
    <w:rsid w:val="00BA0F90"/>
    <w:rsid w:val="00BD4042"/>
    <w:rsid w:val="00C334FC"/>
    <w:rsid w:val="00C41793"/>
    <w:rsid w:val="00C74506"/>
    <w:rsid w:val="00C76933"/>
    <w:rsid w:val="00CB1611"/>
    <w:rsid w:val="00D324EA"/>
    <w:rsid w:val="00D64F34"/>
    <w:rsid w:val="00D727B3"/>
    <w:rsid w:val="00D8318A"/>
    <w:rsid w:val="00D84FEC"/>
    <w:rsid w:val="00DA35D4"/>
    <w:rsid w:val="00DC3673"/>
    <w:rsid w:val="00DD0735"/>
    <w:rsid w:val="00DD6C05"/>
    <w:rsid w:val="00DD771F"/>
    <w:rsid w:val="00DF2346"/>
    <w:rsid w:val="00E66B02"/>
    <w:rsid w:val="00EC522F"/>
    <w:rsid w:val="00ED109C"/>
    <w:rsid w:val="00EE0867"/>
    <w:rsid w:val="00F020D4"/>
    <w:rsid w:val="00F049B7"/>
    <w:rsid w:val="00F26944"/>
    <w:rsid w:val="00F33504"/>
    <w:rsid w:val="00F60D00"/>
    <w:rsid w:val="00F6476A"/>
    <w:rsid w:val="00FE4442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FE1C1"/>
  <w15:docId w15:val="{7F0F3158-81E6-416A-A02C-3FA69C9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6A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246A8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246A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246A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46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46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6A8"/>
  </w:style>
  <w:style w:type="paragraph" w:customStyle="1" w:styleId="Default">
    <w:name w:val="Default"/>
    <w:rsid w:val="000246A8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C522F"/>
    <w:pPr>
      <w:tabs>
        <w:tab w:val="left" w:pos="360"/>
        <w:tab w:val="left" w:pos="720"/>
        <w:tab w:val="left" w:pos="1440"/>
        <w:tab w:val="left" w:pos="1800"/>
      </w:tabs>
      <w:ind w:left="1800" w:right="1109" w:hanging="1170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66FC1"/>
    <w:pPr>
      <w:ind w:left="720"/>
      <w:contextualSpacing/>
    </w:pPr>
  </w:style>
  <w:style w:type="paragraph" w:customStyle="1" w:styleId="TLPBulletslvl1">
    <w:name w:val="TLP Bullets lvl.1"/>
    <w:basedOn w:val="Normal"/>
    <w:rsid w:val="00A762CD"/>
    <w:pPr>
      <w:keepLines/>
      <w:spacing w:before="120" w:line="26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2016-09-01T10:35:00Z</cp:lastPrinted>
  <dcterms:created xsi:type="dcterms:W3CDTF">2024-12-03T11:32:00Z</dcterms:created>
  <dcterms:modified xsi:type="dcterms:W3CDTF">2024-12-03T11:32:00Z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